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octubre de 2011, la Procuradora de los Tribunales doña Mónica Paloma Fente Delgado, en nombre y representación de doña Encarnación Martínez Segado, don José Luis Mazón Costa y el partido político Soberanía de la Democracia (Soberanid), y con la asistencia letrada de doña Encarnación Martínez Segado y don José Luis Mazón Costa, interpuso recurso de amparo electoral contra la Sentencia de fecha 26 de octubre de 2011 del Juzgado de lo Contencioso-Administrativo núm. 7 de Murcia en el recurso contencioso-electoral 681-2011.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electoral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Soberanía de la Democracia (Soberanid) es un partido político nuevo, inscrito en el registro de partidos del Ministerio del Interior en septiembre de 2011. Con fecha de 12 de octubre de 2011 presentó en la Junta Electoral Provincial de Murcia su candidatura al Congreso compuesta por diez titulares y dos suplentes. Entre los candidatos están los dos recurrentes. Con la candidatura no se aportaron las firmas avales del 0,1 por 100 de los electores inscritos en el censo electoral de la circunscripción, exigidas por el art. 169.3 de la Ley Orgánica 5/1985, de 19 de junio, del régimen electoral general (LOREG) en la redacción dada por la Ley Orgánica 2/2011, de 28 de enero, en el plazo de veinte días desde la convocatoria de elecciones establecido por la instrucción 7/2011, de 15 de septiembre, de la Junta Electoral Central. La falta de aportación de las firmas avales se basó en que, a juicio de los recurrentes, la norma legal y la instrucción antes mencionadas eran lesivas para los derechos fundamentales. En el escrito de presentación de la candidatura ante la Junta Electoral Provincial de Murcia se señalaba que la intención de los promotores de aquélla era “tras agotar la vía judicial ante el Juzgado de lo Contencioso, acudir al Tribunal Constitucional”, por lo que se solicitaba incluso que se suprimiera el “inútil trámite de subsanación de firmas”, pues su intención no era obtenerlas y lograr así la proclamación sino “impugnar la inconstitucionalidad del art. 169.3 LOREG que impone las referidas firmas avales del 0,1 por 100 del censo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21 de octubre de 2011, la Junta Electoral Provincial requirió a la representante general del partido para que subsanara la falta de presentación de firmas en el plazo de 48 horas. Ante la falta de subsanación, la Junta Electoral Provincial adoptó el día 24 de octubre de 2011 el acuerdo de no proclamación de la Candidatura Soberanía de la Democracia (Soberanid), que se publicó en el “Boletín Oficial del Estado” de 25 de octubre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acuerdo de no proclamación de candidatura se presentó, con arreglo al art. 49 LOREG, el recurso contencioso-electoral 81-2011 ante el Juzgado de lo Contencioso-Administrativo núm. 7 de Murcia, interesando que se dictara Sentencia por la que se declarara “que la exigencia de firmas avales impuesta por el nuevo artículo 169.3 LOREG a los partidos políticos constituye una traba arbitraria contra los derechos constitucionales indicados en los fundamentos de esta demanda, y estimando la demanda acuerde la proclamación de la candidatura Soberanid, y, caso de existir obstáculo legal insalvable, dicte Sentencia ajustada al marco de sus competencias dejando expedita la vía judicial ordinaria para acudir al Tribunal Constitucional”. En el escrito de recurso señalaban los recurrentes que “[e]s evidente que no cabe en este procedimiento de gran urgencia el planteamiento de ninguna cuestión de inconstitucionalidad pues en el plazo de dos días para sentenciar no se puede considerar tal evento y en todo caso el Tribunal Constitucional como singular instancia competente para examinar la violación de derechos fundamentales imputable al acto legislativo, es el competente para el dictado de sentencia estimatoria por provenir la violación denunciada de un acto legislativo sin perjuicio de luego remitir al pleno la cuestión o auto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Admitido a trámite el recurso, el Juzgado de lo Contencioso-Administrativo núm. 7 de Murcia dictó Sentencia desestimatoria con fecha 26 de octubre de 2011 con base en los siguientes argumentos: no es competencia de la jurisdicción contenciosa ordinaria la censura de las normas con rango de ley; el recurso no cuestiona el acuerdo de la Junta Electoral Provincial de no proclamación de la candidatura presentada, sino que la crítica se dirige a la norma legal aplicada, la cual está fuera de la competencia de dicha jurisdicción; los recurrentes no pretenden que se de validez a un plazo distinto o a un procedimiento alternativo para la obtención y acreditación de las firmas avales exigidas por la LOREG, por lo que el contenido de la instrucción 7/2011, de 15 de septiembre, les es indiferente; no cabe plantearse la posibilidad de elevar cuestión de inconstitucionalidad “máxime al dejar expedita esta sentencia la vía de amparo ante el Tribunal Constitucional”; y añadía que la actuación de la Administración electoral recurrida se ajusta estrictamente a la legalidad que concreta el art. 169.3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 amparo electoral interpuesto ante este Tribunal comienza realizando una serie de consideraciones críticas sobre los aspectos concernidos por la reforma del art. 169.3 LOREG mediante la Ley Orgánica 2/2011, de 28 de enero. Más allá de esas consideraciones críticas, la demanda imputa al art. 169.3 LOREG así como al plazo de veinte días establecido en la instrucción 7/2011, de 15 de septiembre, de la Junta Electoral Central, la lesión de los siguientes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tanto de los electores como de los candidatos a unas elecciones libres, no restringidas ni discriminatorias o trabadas para algunos, por conductos como la obstaculización arbitraria de las candidaturas de nuevos partidos sin representación parlamentaria (art. 23.1 y 2 CE), por vía de la exigencia de firmas avales del 0,1 por 100 del censo electoral en el plazo de veinte días y por electores que no pueden apoyar otra candidatura. Los recurrentes son tanto electores como candidatos.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de los partidos nuevos o sin representación parlamentaria a presentarse a unas elecciones libres y limpias, no viciadas de restricciones ilegítimas a favor de los “instalados” (art. 23.1 y 2 CE) y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de los partidos (en cuanto asociaciones) a ejercer libremente su actividad (art. 22.1 CE), según la STC 3/1981, de 2 de febrero, dañando el contenido esencial de dicho derecho la imposición de obstáculos arbitrarios o desproporcionados en el acceso a las candidaturas a ser votadas en procesos de acceso al poder legislativo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de los partidos y candidatos a no ser discriminados con exigencias arbitrarias de las que se dispensan los propios partidos que elaboran la ley (art. 14 CE). Afirma el recurso que se rompe la igualdad de condiciones entre partidos en la competencia electoral, que se desarrolla con un claro privilegio de los mayoritarios al ser ellos mismos quienes reglamentan el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al pluralismo político (art. 23.1 y 2 CE en relación a los arts. 1 y 6 del mismo texto constitucional), como parte del derecho fundamental a elecciones libres.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a la intimidad de los ciudadanos avalistas (art. 18 CE), pues a partir de las firmas avales el Estado se hace con una base de datos de ciudadanos sobre simpatías o afinidades ideológicas que viola la intimidad de los recurrentes personas físicas, vulnerando el derecho a la intimidad personal y a la limitación de la informática.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de los ciudadanos a no declarar sobre su ideología, que afecta a los recurrentes personas físicas, por cuanto la exigencia de avales constriñe a identificarse sobre simpatías ideológicas o preferencia por partidos determinados (art. 16.2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derecho al voto secreto (art. 23.1) ya que el requisito legal fuerza a exteriorizar las preferencias o simpatías del firmante avalista con una determinada formación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estima además que los derechos fundamentales mencionados han de interpretarse en consonancia con el art. 9.2 CE, el cual, según los recurrentes, resulta vulnerado por los grupos mayoritarios que, aprovechando su mayoría parlamentaria y utilizando los órganos de máxima representación, han modificado el Ordenamiento jurídico para su mera conveniencia violando también lo establecido en el art. 9.2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la demanda interesando que se dicte Sentencia otorgando el amparo solicitado y declarando la nulidad de la Sentencia y acuerdo impugnados, se restablezca a los recurrentes en el disfrute de sus derechos constitucionales y se proclame la candidatura para el Congreso de los Diputados presentada por el partido Soberanía de la Democracia (Soberanid), por vulneración de los derechos fundamentales citados, lesión que considera imputable bien al art. 169.3 LOREG, en cuanto que exige firmas avales para la presentación de candidaturas, bien —en defecto de lo anterior— al plazo de veinte días para recoger las firmas establecido por la instrucción 7/2011, de 15 de septiembre, de la Junta Electoral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registrado el mismo día 27 de octubre de 2011 el recurrente don José Luis Mazón Costa amplió los hechos del recurso de amparo aludiendo a una información periodística sobre la drástica reducción de candidaturas a las elecciones generales de 2011, como consecuencia de la exigencia de firmas avales derivada del art. 169.3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133/2011, de 31 de octubre, la Sala acordó estimar la causa de abstención formulada por el Magistrado don Javier Delgado Barrio en la comunicación efectuada el día 31 de octubre de 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convendrá señalar, en primer lugar, que la invocación del art. 22 CE no es procedente para combatir las decisiones de no proclamación de una candidatura, ya que lo concernido en ese ámbito es el derecho de sufragio pasivo y no el derecho de asociación. Del mismo modo, la invocación genérica del principio de igualdad (art. 14 CE) ha de entenderse subsumida también,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las invocaciones al valor superior del pluralismo político (art. 1.1 CE), que expresan los partidos políticos (art. 6 CE), o respecto de la del art. 9.2 CE que también enuncia la demanda, toda vez que, al margen de no tratarse de derechos susceptibles de amparo constitucional, pueden ser reconducidos en los términos en que han sido alegados en la demanda al parámetro de control dispensado por la invocación del derecho fundamental previsto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margen de lo anterior, en el fundamento jurídico 8 de la mencionada STC 163/2011,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doctrina que, mutatis mutandis, sirve igualmente para descartar la lesión alegada en este recurso en relación con el derecho al sufragio activo y el carácter secreto del voto, pues dicha alegación se realiza para denunciar que aquel requisito fuerza a exteriorizar las preferencias o simpatías del firmante avalista con una determinada formación política, cosa que, sin embargo, como acaba de decirse, no puede confundirse. Del mismo modo, también descarta la Sentencia reseñada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el partido recurrente ha impugnado el acuerdo de la junta electoral de no proclamación de su candidatura —y la resolución judicial que confirmó su adecuación a derecho—, que se fundamentó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