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octubre de 2011, la Procuradora de los Tribunales doña Raquel Nieto Bolaño, en nombre y representación del partido político Movimiento por la Unidad del Pueblo Canario, y bajo la dirección del Letrado don José Manuel Rivero Pérez, interpuso demanda de amparo electoral contra la Sentencia del Juzgado de lo Contencioso-Administrativo núm. 1 de Santa Cruz de Tenerife de 28 de octubre de 2011, dictada en el proceso contencioso-electoral núm. 528-2011, por la que se desestima el recurso interpuesto contra el acuerdo de la Junta Electoral Provincial de Las Palmas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Movimiento por la Unidad del Pueblo Canario interpuso recurso contencioso-electoral ex art. 49 de la Ley Orgánica del régimen electoral general (LOREG) contra el acuerdo de la Junta Electoral Provincial de Santa Cruz de Tenerife de 24 de octubre de 2011 (“Boletín Oficial del Estado” de 25 de octubre) por el que se deniega la proclamación de las candidaturas de dicho partido al Congreso de los Diputados y el Senado por la circunscripción de Santa Cruz de Tenerife en las elecciones generales convocadas por Real Decreto 1329/2011, de 26 de septiembre, al no haber cumplido dicho partido, que no obtuvo representación parlamentaria en las anteriores elecciones generales, el requisito establecido en el art. 169.3 LOREG (en la redacción dada por la Ley Orgánica 2/2011, de 28 de enero) de aportar las firmas de al menos el 0,1 por 100 de los electores inscritos en el censo electoral de dicha circunscripción.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argumentaba que el acuerdo de no proclamación vulnera el art. 23.2 CE, en relación con el principio de no discriminación del art. 14 CE, ya que los ciudadanos que figuran integrados en candidaturas de partidos que no hubieran obtenido representación en la anterior convocatoria de elecciones generales se ven discriminados y gravados injustificadamente en relación con las personas que figuran en partidos con representación parlamentaria. Igualmente, se argumentó que el requisito del art. 169.3 LOREG es contrario al pluralismo político (art. 1.1 CE) que expresan los partidos políticos (art. 6 CE), ya que excede de las exigencias constitucionales, por lo que solicitó al órgano judicial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contencioso-electoral fue desestimado por Sentencia de 28 de octubre de 2011 del Juzgado de lo Contencioso-Administrativo núm. 1 de Santa Cruz de Tenerife, en la que se razona que no procede el planteamiento de la cuestión de inconstitucionalidad, toda vez que el requisito controvertido no constituye una desigualdad constitucionalmente relevante. A esos efectos se señala que no puede compararse la situación de partidos que no han obtenido una representación parlamentaria con aquellos otros que sí obtuvieron dicha representación y, por tanto, han acreditado gozar de suficiente apoyo popular al haber obtenido, al menos, el 3 por 100 de los votos válidos emitidos, esto es, 30 veces más que el número de avales que exige el art. 169.3 LOREG. De ello se deriva que no es irracional ni arbitrario que se excluya a los partidos con representación parlamentaria de la exigencia de avales. Asimismo se argumenta que la Constitución sólo establece los requisitos mínimos necesarios para poder participar en las elecciones, lo que no impide que por ley puedan establecerse otras exigencias para poder ser proclamado candidato siempre que sean limitaciones justificadas, como es la del art. 169.3 LOREG que, conforme a la exposición de motivos de la Ley Orgánica 2/2011, se justifica en “impedir prácticas inaceptables desde la perspectiva de la seriedad del proceso electoral”. En ese sentido, se señala en la Sentencia que esta exigencia, que ya existe en la normativa electoral para las agrupaciones de electores, no es desproporcionada, pues el 0,1 por 100 del censo electoral es un porcentaje muy exiguo, y persigue la finalidad legítima de evitar la presentación de candidaturas que desde un principio no pueden acreditar tener un mínimo apoyo por carecer de implantación política, impidiendo así la multiplicación de candidaturas que carecen de aceptación y coadyuvando a que la Administración electoral funcione con eficacia y eficiencia, como exigen los arts. 31.2 y 103.1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partido recurrente aduce en su demanda de amparo que las resoluciones impugnadas han vulnerado su derecho de participación política y de acceso en condiciones de igualdad a las funciones y cargos públicos (art. 23.2 CE), en relación con el derecho a la igualdad y el principio de no discriminación (art. 14 CE), y con el valor superior del pluralismo político (art. 1.1 CE) que los partidos políticos expresan (art. 6 CE). A esos efectos, el partido recurrente argumenta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trato discriminatorio que se acrecienta con la circunstancia de que a los partidos que ya obtuvieron representación parlamentaria se les otorgan sustanciosas subvenciones anuales. También se argumenta que el requisito del art. 169.3 LOREG excede de las previsiones constitucionales, ya que la Constitución no exige para participar en las elecciones generales la aportación de avales. Por todo ello, solicita que se plantee una cuestión interna de inconstitucionalidad en relación con el art. 169.3 LOREG.</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por no haber aportado el porcentaje mínimo de avales exigido por el art. 169.3 de la Ley Orgánica del régimen electoral general (LOREG), en la redacción dada por la Ley Orgánica 2/2011, de 28 de enero, ha vulnerado el derecho de los integrantes de su candidatura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 invocación del valor superior del pluralismo político (art. 1.1 CE) que expresan los partidos políticos (art. 6 CE), toda vez que, al margen de que los arts. 1.1 y 6 CE no enuncian derechos susceptibles de amparo constitucional, la pretendida lesión de dichos preceptos constitucionales también puede ser reconducida, en los términos en que han sido alegados en la demanda de amparo, al parámetro de control dispensado por la invocación del derecho fundamental que garantiza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Sentencia que confirma dicho acuerdo, lo que se cuestiona es si el requisito de aportación de avales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verdadero objeto de este recurso de amparo electoral, con las limitaciones propias que impone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precisa en la Sentencia que, con independencia de que la exigencia del art. 169.3 LOREG no esté expresamente prevista en la Constitución, su eventual contradicción con el art. 23.2 CE dependerá de que se hayan sobrepasado las limitaciones impuestas al legislador respecto de su carácter no discriminatorio o contrario al principio de representación política, lo que sólo puede concluirse de su contraste con el texto constitucional, sin que el hecho de que el legislador no haya explicado de manera suficiente las razones de su decisión legislativa convierta dicha exigencia en arbitraria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como requisito limitativo a la presentación de candidaturas, es si tiene o no un fundamento constitucional que la justifique. A esos efectos, se recuerda que la exigencia de avales no es inédita en los ordenamientos de países de nuestro entorno, ni tampoco en nuestro propio ordenamiento, que establece para las elecciones al Parlamento Europeo la necesidad de que los partidos, coaliciones, federaciones y agrupaciones de electores presenten la firma de 15.000 electores o la firma de cincuenta cargos electos (art. 220.3 y 4 LOREG), y también en relación con las agrupaciones de electores, a las que se exige para las elecciones al Congreso de los Diputados y al Senado en el mismo art. 169.3 LOREG un porcentaje de firmas del 1 por 100, exigencia que el Tribunal Europeo de Derechos Humanos, en su decisión de 9 de mayo de 1994, caso J.A. Serqueda c. España, no consideró contraria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lo expuesto, en la citada STC 163/2011, de 2 de noviembre, este Tribunal ha concluido que la necesidad de obtención de avales establecida en el art. 169.3 LOREG no vulnera el derecho de los integrantes de su candidatura al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añade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razonado asimismo en la referida Sentencia que la diferencia de trato que resulta de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este Tribunal ha descartado en la misma Sentencia que el requisito legal de aportación de avales en el porcentaje, al menos, del 0,1 por 100 de los electores inscritos en la circunscripción electoral por la que el partido pretenda su elección pueda ser considerado desproporcionado, puesto en relación tanto con la exigencia del 1 por 100 de avales exigidos a las agrupaciones electorales para presentar candidaturas en las elecciones al Congreso de los Diputados y al Senado (art. 169.3 LOREG) y en las elecciones municipales (art. 187.3 LOREG), como con la exigencia a los partidos políticos, coaliciones, federaciones y agrupaciones de electores de aportar 15.000 firmas para la presentación de candidaturas en las elecciones al Parlamento Europeo (art. 214 LOREG). Del mismo modo se descarta que concurra desproporción alguna en la exigencia de avales del art. 169.3 LOREG por lo que se refiere al plazo concedido por las Juntas Electorales, de conformidad con lo dispuesto en el apartado quinto de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mencionada Sentencia descarta que suponga lesión del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teniendo en cuenta que en el presente recurso de amparo, tal como se ha expuesto más detalladamente en los antecedentes, se impugna el acuerdo de la Junta Electoral Provincial de Santa Cruz de Tenerife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