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139</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3 de noviembre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octubre de 2011, la Procuradora de los Tribunales doña Valentina López Valero, en nombre y representación de la formación política Coalición Anticapitalista por la provincia de Valladolid interpuso recurso de amparo electoral contra la resolución de la Junta Electoral Provincial de Valladolid de 24 de octubre de 2011 y frente a la Sentencia del Juzgado de lo Contencioso-Administrativo núm. 3 de Valladolid de 28 de octubre de 2011, por la que se desestimó el recurso contencioso-electoral planteado frente a la mencionada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formación política Coalición Anticapitalista por la provincia de Valladolid interpuso recurso contencioso-electoral contra la resolución de la Junta Electoral Provincial de Valladolid de 24 de octubre de 2011 (“Boletín Oficial del Estado” de 25 de octubre), por la que se denegó la proclamación de las candidaturas de dicha coalición al Congreso de los Diputados y el Senado por la provincia Valladolid en las elecciones generales a celebrar el 20 de noviembre de 2011, al no haber cumplido dicho partido, que no obtuvo representación parlamentaria en las anteriores elecciones generales, el requisito establecido en el art. 169.3 de la Ley Orgánica del régimen electoral general (LOREG), en la redacción dada por la Ley Orgánica 2/2011, de 28 de enero, —haber conseguido la firma de al menos el 0,1 por 100 de los electores inscritos en el censo electoral de la circunscripción por la que el partido pretenda presentarse, en este caso la circunscripción de Valladolid—. La coalición acreditó 218 avales válidos (de los 250 presentados), frente a los 434 exigibles.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Interpuesto recurso contencioso-electoral frente a dicha resolución, fue desestimado por Sentencia del Juzgado de lo Contencioso-Administrativo núm. 3 de Valladolid (procedimiento electoral núm. 3-2011) de 28 de octubre de 2011. Razonaba el órgano judicial en la Sentencia que la coalición demandante pretende plantear un recurso indirecto de inconstitucionalidad contra el art. 169.3 LOREG, pretensión que considera por completo ajena al objeto del recurso contencioso-electoral.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formación política recurrente que las resoluciones impugnadas vulneran el pluralismo político (art. 1.1 CE) que expresan los partidos políticos (art. 6 CE), en relación con el derecho de asociación (art. 22 CE) y el derecho de participación política (art. 23.2 CE), y el mandato a los poderes públicos de remover los obstáculos que impidan la participación política (art. 9.2 CE). La coalición recurrente argumenta que el requisito del art. 169.3 LOREG atenta contra la soberanía popular, y destruye la esencia democrática y el pluralismo político, al establecer un control preventivo de la voluntad popular que impide que puedan concurrir a un proceso electoral opciones ideológicas minoritarias. Además, aduce que la norma introduce un distinto tratamiento a los partidos que es desproporcionado y carece de justificación, ya que el referido requisito no se exige a los partidos con representación parlamentaria.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Aduce también la vulneración del derecho que consagra el art. 18.1 CE, argumentando que el requisito del art. 169.3 LOREG atenta contra el derecho a la intimidad de los avalistas, pues para avalar una candidatura se han de facilitar datos personales (nombre y apellidos, documento nacional de identidad y circunscripción electoral en la que se esté censado).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la no proclamación de la candidatura del partido recurrente al no haberse adjuntado los avales exigidos por el art. 169.3 de la Ley Orgánica del régimen electoral general (LOREG), en la redacción dada por la Ley Orgánica 2/2011, de 28 de enero, ha vulnerado el derecho a acceder en condiciones de igualdad a las funciones y cargos públicos (art. 23.2 CE) y el derecho a la intimidad (art. 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un adecuado examen de las alegaciones aducidas este recurso de amparo debe señalarse que las invocaciones al valor superior del pluralismo político (art. 1.1 CE), que expresan los partidos políticos (art. 6 CE), y el mandato de los poderes públicos de remover los obstáculos que impiden la participación política, aunque no son derechos susceptibles de amparo constitucional, dados los términos en los que han sido alegados en la demanda amparo, deben reconducirse al parámetro de control dispensado por la invocación del derecho fundamental previsto en el art. 23.2 CE. A la misma conclusión debe llegarse respecto de la alegación relativa al derecho de asociación (art. 22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también debe señalarse que, aunque la demanda se dirige formalmente contra el acuerdo de la Junta Electoral Provincial de no proclamación de la candidatura del partido recurrente y contra la resolución judicial que la ha confirmado, lo que se cuestiona es si el requisito legal impuesto por el art. 169.3 LOREG para la presentación de candidaturas por partidos políticos, federaciones o coaliciones que no hubieran obtenido representación parlamentaria en la anterior convocatoria electoral resulta lesivo o no de los referidos derechos fundamentales, que es el real objeto de este recurso de amparo, con las limitaciones propias que impone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la eventual inconstitucionalidad de esta exigencia de avales ya ha sido objeto de pronunciamiento por parte de este Tribunal en STC 163/2011, de 2 de noviembre. 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 Del mismo modo se descarta que concurra desproporción alguna de esta exigencia de avales puesta en relación con el plazo concedido por las juntas electorales, de conformidad con lo dispuesto en la instrucción 7/2011, de 15 de septiembre de la Junta Electoral Central, relativa al procedimiento de acreditación de firmas de apoyo de candidaturas, que se extiende desde la convocatoria electoral correspondiente hasta la finalización del plazo de presentación de candidaturas (apartado quinto)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debe señalarse que la mencionada STC 163/2011, de 2 de noviembre, FJ 8, también se pronuncia sobre la eventual incidencia que tendría la exigencia de avales en el derecho a la intimidad de los avalistas o en su derecho a no declarar sobre su ideología y pone de manifiesto que, conforme a reiterada doctrina constitucional, entre los aspectos básicos de la vida privada protegidos por la intimidad, a la ideología y creencias, no se encuentran los datos referentes a la participación en la vida política, por ser una actividad cuya propia naturaleza se desarrolla en la esfera pública, con excepción del derecho de sufragio activo, dado el carácter secreto del voto (por todas, STC 85/2003, de 8 de mayo, FJ 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atención a lo expuesto, teniendo en cuenta que en el presente recurso de amparo, tal como se ha expuesto más detalladamente en los antecedentes, se impugna el acuerdo de la Junta Electoral Provincial de Pontevedra de no proclamar la candidatura de la coalición recurrente (y la Sentencia que confirmó su adecuación a Derecho), con fundamento en el incumplimiento de la exigencia de aportación de avales prevista en el art. 169.3 LOREG, y que dicho precepto no puede ser considerado lesivo de los arts. 18.1 y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en relación con el art. 43.1,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