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30 de octubre de 2011, el Procurador de los Tribunales don José Andrés Peralta de la Torre interpuso recurso de amparo, en nombre y representación de Hartos.org, contra la resolución de la Junta Electoral Provincial de Barcelona, de 25 de octubre de 2011, confirmada por la Sentencia de 28 de octubre de 2011, dictada por el Juzgado de lo Contencioso-Administrativo núm.12 de Barcelona en el recurso contencioso electoral núm. 542-2011.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formación política Hartos.org interpuso recurso contencioso-electoral contra el acuerdo de la Junta Electoral Provincial de Barcelona de 25 de octubre de 2011, por el que se denegaba la proclamación de sus candidaturas a las elecciones generales a celebrar el 20 de noviembre de 2011, al no haber cumplido dicho partido, que no obtuvo representación parlamentaria en los anteriores comicios, el requisito establecido en el art. 169.3 de la Ley Orgánica 5/1985, de 19 de junio, del régimen electoral general (LOREG) en la redacción dada por la Ley Orgánica 2/2011, de 28 de enero. El motivo de la denegación residió en que, siendo 4.028 avales el mínimo requerido, correspondiente al 0,1 por 100 de los electores inscritos en el censo electoral de la circunscripción, Hartos.org aportó únicamente 2.919 apoyos, de los cuales se rechazaron un total de 1.883 (por figurar por duplicado, por falta de datos o de firma, por corresponder a personas menores de edad, por estar inscritos fuera del ámbito territorial, por estar inscritos en censos ajenos o por no estar inscritos en el censo electoral, entre otras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contencioso-electoral se alegaba que tanto la modificación operada por la Ley Orgánica 2/2011, de 28 de enero, como la instrucción 7/2011, de 15 de septiembre, de la Junta Electoral Central, no podían aplicarse a este proceso electoral, pues lo contrario implicaría su vigencia retroactiva; que el requisito de presentación de avales a las candidaturas que no hubiesen obtenido representación en anteriores elecciones resulta contrario al pluralismo político, al derecho fundamental de acceso a las funciones y cargos públicos y al principio de igualdad entre candidaturas, sin que pueda identificarse una justificación razonable, objetiva y proporcionada de tal discriminación, y que el proceso de obtención de avales supone una infracción de la confidencialidad de los datos de los militantes y simpatizantes y una infracción consiguiente del derecho a no declarar sobre la propia ideología. Se invocaban, en suma, los arts. 14, 16.2 y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Sentencia de 28 de octubre de 2011 del Juzgado Contencioso-Administrativo núm. 12 de Barcelona desestima el recurso contencioso-electoral. Razona que la convocatoria de las elecciones se produjo por Real Decreto 1329/2011, de 26 de septiembre, netamente posterior a la modificación legislativa citada. Añade después que, independientemente de que la Junta Electoral Provincial hubiera rechazado parte de los avales presentados, la no proclamación se produce realmente por la ausencia de avales suficientes (ya que se aportaron un total de 2.919 avales, de los que fueron rechazados 1.883, y el mínimo requerido era de 4.028), de forma que resultaría irrelevante la instrucción de la Junta Electoral Central a la que hacía referencia la demanda, en la medida en que el obstáculo que impide la proclamación de la candidatura es el incumplimiento del mínimo establecido por la ley, defecto no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puede entender, dice la resolución judicial, que la introducción de un requisito consistente en la exigencia de avales a algunas candidaturas sea inconstitucional, pues obedece a la necesidad de que las candidaturas respondan a un mínimo de representatividad social. En ese contexto, concluye, no se produce la vulneración de los arts. 23.2 y 14 CE, puesto que la exigencia de un aval mínimo por parte del cuerpo electoral puede admitirse como condición de operatividad del sistema electoral. Y razona, en cuanto a la alegación restante (art. 16.2 CE), que la parte actora no acredita un interés específico que le legitime para mantener esa pretensión, que en todo caso sería de los ciudadanos que se encuentren en la tesitura de avalar una candidatura, y que la confidencialidad de los datos personales tampoco es un valor absoluto, de manera que si el ciudadano presta voluntariamente el aval y cede un dato personal para un uso que no es público, sino restringido a la Administración electoral, no cabe apreciar la lesión aducida.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margen de otras consideraciones que realiza sobre las vicisitudes del proceso (críticas por incoherencia e ineficacia de la Junta Electoral Central, por la intervención del Instituto Nacional de Estadística y por lo privilegios que considera que benefician a los partidos parlamentarios), la demanda de amparo sitúa la vulneración de derechos fundamentales en distintos planos. A su juicio, el art. 169.3 de la Ley Orgánica 5/1985, de 19 de junio, del régimen electoral general (LOREG) en la redacción dada por la Ley Orgánica 2/2011, de 28 de enero, supone una quiebra del pluralismo político (art. 1.1 CE), obviándose que el art.6 CE no diferencia a aquellos partidos que obtienen representación en las Cortes Generales de los restantes. A partir de ello, denuncia la lesión del art. 23.2 CE, pues supone una traba en el derecho a participar en los asuntos públicos, directamente o por medio de representantes, ya que sólo se podrá optar a la elección de dichos representantes si superan el requisito previo de aportar las firmas requeridas. La obligatoria obtención de avales supone de facto la limitación de opciones políticas, ya que la recogida de avales de ciudadanos que circulan por espacios públicos en solo veinte días, afirma, limita de forma considerable el número de ciudadanos censados para poder avalar a un partido. Considera asimismo lesionado el art. 14 CE (del que se infiere que no puede existir un diferente trato en función de resultados electorales previos), y, añade, también el art. 16.2 CE (pues aquel precepto legal, como la instrucción 7/2011, de 15 de septiembre, de la Junta Electoral Central, permite a los ciudadanos manifestar el apoyo a una única candidatura, obligándoles a manifestar la propia ideología sin el amparo del anonimato que otorga el voto secreto en la jornada electoral; lo mismo que obliga a las formaciones políticas a ofrecer datos personales de los avalistas, vulnerando la confidencialidad de sus militantes, afiliados, simpatizantes o personas que han decidido apoyar la candidatura puntualmente).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lo expuesto, interesa la anulación de la resolución judicial impugnada y el acuerdo de la Junta Electoral Provincial que la misma confirma, con la consiguiente proclamación de las candidaturas de Hartos.org, en la circunscripción de Barcelona, así como la declaración de la nulidad de la nueva redacción dada al art. 193.2 LOREG (sic) y del Decreto de convocatoria de las elecciones generales del 20 de noviembre de 2011, exigiendo una nueva convocatoria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quiera que el recurso se dirigía formalmente contra diversas resoluciones judiciales que confirmaron acuerdos de distintas Juntas Electorales Provinciales, no únicamente de la de Barcelona, por diligencia de ordenación de 30 de octubre de 2011 de la Secretaría de la Sección Primera del Tribunal se puso en conocimiento del Procurador don José Andrés Peralta de la Torre que no era posible recurrir en un solo recurso de amparo resoluciones judiciales dictadas en procesos diferentes, acordándose tener por interpuesto el presente recurso de amparo exclusivamente contra la Sentencia núm. 325/2011, dictada por el Juzgado de lo Contencioso-Administrativo núm. 12 de Barcelona, en el recurso contencioso-electoral núm. 542-2011, con indicación de que, si lo deseare, podía interponer en el plazo de veinticuatro horas tantos recursos de amparo como resoluciones pretendiese recurrir.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que, en su caso, pudiera haber resultado directamente transgredido (por todas, STC 193/1989, de 16 de noviembre, FJ 3). A esa misma conclusión debe llegarse en relación con las invocaciones al valor superior del pluralismo político (art. 1.1 CE), que expresan los partidos políticos (art. 6 CE), toda vez que, al margen de no tratarse de derechos susceptibles de amparo constitucional, también pueden ser reconducidos en los términos en que han sido alegados en la demanda al parámetro de control dispensado por la invocación del derecho fundamental previsto en el art. 23.2 CE. Finalmente, la demanda de amparo invoca el art. 16.2 CE, que recibirá respuesta particularizada en el fundamento jurídico 4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destacarse, por otra parte, que aunque el recurso parece censurar asimismo la instrucción de la Junta Electoral Central 7/2011, de 15 de septiembre, y la resolución del Presidente de la Junta Electoral Central, de 20 de octubre de 2011, el objeto de este procedimiento constitucional no puede comprenderlas, ya que su impugnación no puede efectuarse a través del recurso de amparo electoral. Como señalamos en la STC 112/2007, de 10 de mayo, FJ 2, “[l]a ‘modalidad específica de recurso de amparo’ (SSTC 71/1986, de 31 de mayo, y 1/1988, de 13 de enero) que articuló la Ley Orgánica del régimen electoral general, se prevé, de modo expreso, como cauce de amparo frente a las resoluciones de las que conoció o que dictaron los Juzgados de lo Contencioso-Administrativo en recursos frente a la proclamación de candidaturas y candidatos (arts. 49.3 y 4 LOREG) o también, por vía de remisión explícita, frente a las resoluciones dictadas por la Sala del Tribunal Supremo regulada en el art. 61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por lo que, con independencia de otras consideraciones, es claro que, al no tener por objeto directo las referidas instrucción 7/2011, de 15 de septiembre, y resolución del Presidente de la Junta Electoral Central, de 20 de octubre de 2011, la proclamación de candidaturas, no pueden ser objeto de un recurso de amparo electoral. Y por esta razón no van a ser objeto de examen las alegaciones que se refieren a las infracciones constitucionales que se imputan a esta resolución, sin perjuicio de las conclusiones que la Junta Electoral Central pueda extraer de lo aquí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todavía con carácter previo, convendrá subrayar que a pesar de que el recurso realiza diversas consideraciones sobre lo que califica como falta de eficacia de la Administración de la Junta Electoral Central (censurando el cambio de criterio que, a su juicio, habría operado la resolución del Presidente de 20 de octubre antes citada respecto de la instrucción 7/2011, de 15 de septiembre, en lo relativo a las “insuficiencia de avales”), lo cierto es que, más allá de lo señalado en el párrafo anterior, se advierte que el recurrente no formula queja alguna respecto de las posibilidades de subsanación con las que contó en el caso concreto, no pudiéndosele extender, en consecuencia, la doctrina sentada en la STC 162/2011,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margen de lo anterior, en el fundamento jurídico 8 de la mencionada STC 163/2011, de 2 de noviembre,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Del mismo modo, también se descarta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lo expuesto, teniendo en cuenta que en el presente recurso de amparo, tal como se ha expuesto más detalladamente en los antecedentes, el partido recurrente ha impugnado el acuerdo de la junta electoral de no proclamación de su candidatura —y la resolución judicial que confirmó su adecuación a derecho—, que se fundamentó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