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2011, el Procurador de los Tribunales don Luis Fernando Pozas Oset, en nombre y representación de la formación política Unión Ciudadana por la Democracia interpuso recurso de amparo electoral contra la resolución de la Junta Electoral Provincial de Madrid de 24 de octubre de 2011 y frente a la Sentencia del Juzgado de lo Contencioso-Administrativo núm. 34 de Madrid de 28 de octubre 2011 y Auto de 31 de octubre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formación política Unión Ciudadana por la Democracia presentó su candidatura para el Congreso de los Diputados y para el Senado por la circunscripción de Madrid. El 20 de octubre de 2011 la Junta Electoral Provincial comunicó a este partido los defectos en los que incurría la candidatura presentada (falta del documento nacional de identidad y la de la aceptación de algunos candidatos, y la de designación de algunos suplentes) dándole plazo de subsanación. Ese mismo día la Junta Electoral Provincial acordó dejar sin efecto el requerimiento efectuado por entender que, de acuerdo con la resolución del Presidente de la Junta Electoral Central de 20 de octubre de 2011, no procedía aportar nuevos avales una vez finalizado el plazo de presentación de candidaturas.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22 de octubre esta formación política aportó la documentación necesaria para subsanar los defectos puestos de manifiesto por la Junta Electoral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acuerdo de la Junta Electoral Provincial de Madrid de 24 de octubre se acordó no proclamar la candidatura de Unión Ciudadana por la Democracia. Contra esta resolución se interpuso recurso contencioso-electoral. El Juzgado de lo Contencioso dictó Sentencia estimando el recurso al considerar que la presentación de las firmas y su subsanación se realizaron dentro de plazo. Unión ciudadana por la democracia solicitó la aclaración de la Sentencia, ya que no había subsanado el requisito del 0,1 por 100 de las firmas de los electores inscritos en la circunscripción de Madrid. El Juzgado de lo Contencioso-Administrativo, en virtud de lo dispuesto en el art. 214 de la Ley de enjuiciamiento civil, aclaró la Sentencia al considerar que se había producido un error al existir incongruencia y una omisión de pronunciamiento. Mediante esta resolución se incluye el pronunciamiento que se había omitido y se modifica el fallo, lo que determina la estimación parcial del recurso. La Sentencia, integrada ya con el Auto de aclaración, estima la demanda en la queja relativa a la subsanación y establece que debe concedérsele un plazo de 48 horas para poder subsanar y desestima la alegación relativa a la inconstitucionalidad del art. 169.3 de la Ley Orgánica del régimen electoral general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la inconstitucionalidad del art.169.3 LOREG por entender que es contrario al art. 23.2 CE en relación con los arts. 1.1, 6,14, 9.2 y 23.1 CE. Sostiene, en síntesis, el partido recurrente que fijar un requisito de avales a los partidos políticos sin representación parlamentaria y, correlativamente, a las personas incluidas en sus candidaturas vulnera los referidos derechos fundamentales, pues este requisito no se aplica a todos los ciudadanos por igual, discriminando a los ciudadanos por el hecho de pertenecer a partidos políticos minoritarios. Según sostiene el partido demandante de amparo esta diferencia de trato es injustificada e irracional en cuanto se fundamenta, según el legislador, en la falta de seriedad de algunas candidaturas presentadas por partidos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se aduce que, en este caso, se ha efectuado una aplicación del referido precepto legal que lesiona el art. 23.2 CE al haberse aplicado de forma “precipitada”, con cambios interpretativos entre las juntas electorales central y provincial que lesiona el derecho que consagra el art. 23.2 CE al infringir el principio de seguridad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un adecuado examen de las alegaciones aducidas este recurso de amparo debe señalarse que la alegación por la que se aduce la vulneración del principio de igualdad (art. 14 CE) ha de entenderse subsumida, de acuerdo con reiterada doctrina constitucional, en el derecho de acceso a los cargos públicos (art. 23.2 CE), que es el que, en su caso, pudiera haber resultado directamente transgredido. Las invocaciones al valor superior del pluralismo político (art. 1.1 CE), que expresan los partidos políticos (art. 6 CE), y el mandato de los poderes públicos de remover los obstáculos que impiden la participación política, aunque no son derechos susceptibles de amparo constitucional, dados los términos en los que han sido alegados en la demanda amparo, deben reconducirse también al parámetro de control dispensado por la invocación del derecho fundamental previsto en el art. 23.2 CE. Y a la misma conclusión debe llegarse respecto de la alegación relativa al derecho de asociación (art. 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 los referidos derechos fundamentales,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 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la alegación por la que se aduce que, en este caso, se ha efectuado una aplicación de lo dispuesto en el art. 169.3 LOREG que vulnera el art. 23. 2 CE, por haberse aplicado de “forma precipitada” y lesionar el principio de seguridad jurídica al existir una disparidad de criterio entre la Junta Electoral Central y la Junta Electoral Provincial tampoco puede prosperar. La existencia de este distinto criterio entre la Junta Electoral Central y la Provincial no es susceptible, en sí misma, de lesionar el derecho que consagra el art. 23.2. En todo caso, a través de esta alegación lo que realmente está denunciando es la vulneración del principio de seguridad jurídica que, según sostiene el partido recurrente, el diferente criterio, le ha ocasionado. Sin embargo, las vulneraciones del este principio no pueden ser alegadas a través del recurso de amparo, que sólo cabe frente a los derechos y libertades consagrados en el art. 14 CE y en la Sección Primera del capítulo II de la Constitución (art. 53.2 CE), entre los que no se encuentra el principio de seguridad jurídica, que está garantizado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se impugna el acuerdo de la Junta Electoral Provincial de Santa Cruz de Tenerife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