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18 de marzo de 2010, don Joan Puigcercós i Boixassa, don Josep Lluis Carod Rovira y el partido político Esquerra Republicana de Catalunya, representado por el Procurador de los Tribunales don Emilio Martínez Benítez y asistidos por la Letrada doña Mélani Simón Martínez, interpusieron recurso de amparo contra la Sentencia dictada por la Sala Primera del Tribunal Supremo de 26 de enero de 2010, en proceso sobre protección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mediante otrosí, solicitaron al amparo del art. 56.2 de la Ley Orgánica del Tribunal Constitucional (LOTC), la suspensión cautelar de la ejecución de la condena en costas que contenía la citada resolución y que se refería a las costas originadas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19 de mayo de 2010 la Sala Segunda de este Tribunal acordó admitir a trámite la demanda de amparo y ordenar que se formara la presente pieza separada de suspensión, concediendo a la demandante de amparo y al Ministerio Fiscal, conforme a lo dispuesto en el art. 56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mediante escrito presentado el 30 de mayo de 2011, manifestó que tras solicitar aclaración del fallo de la Sentencia impugnada, la petición de suspensión carecía ya de objeto, puesto que el Tribunal Supremo en aclaración —mediante Auto de 22 de marzo de 2011— declaró que no procedía la condena al pago de las costas originadas en primera instancia y que se debió a un error lo establecido originariamente en la Sentencia. En definitiva, solicitaba la parte recurrente que se dejara sin efecto la solicitud de la suspensión pedida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 la vista del escrito presentado por la parte recurrente, solicitó, mediante escrito de 7 de junio de 2011, el archivo de la presente pieza de suspensión por pérdida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56.2 de la Ley Orgánica del Tribunal Constitucional, la Sala que conozca de un recurso de amparo acordará la suspensión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a un interés constitucionalmente protegido” o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solicitada por la parte recurrente la suspensión cautelar del pronunciamiento sobre las costas que contenía la Sentencia impugnada, dicha petición —como la propia parte demandante ha puesto de manifiesto en su escrito de 25 de marzo de 2011— ha quedado sin objeto puesto que dicha condena de las costas ocasionadas en primera instancia era fruto de un error aclarado por el Tribunal Supremo mediante Auto de 22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supuesto, toda vez que los propios solicitantes de amparo han comunicado su voluntad de dejar sin efecto la solicitud de suspensión cautelar de la resolución impugnada, y no existe oposición del Ministerio Fiscal, procede declarar que la pretensión cautelar ha quedado privada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pieza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