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agosto de 2003 tuvo entrada en el Registro General de este Tribunal escrito de la Sala de lo Contencioso-Disciplinario del Tribunal Militar Territorial Cuarto, con sede en A Coruña, al que se acompaña, junto con el testimonio del recurso contencioso-disciplinario ordinario núm. 4-9-2003, que se tramita ante dicha Sala, el Auto de 30 de julio de 2003, por el que se acuerda plantear cuestión de inconstitucionalidad respecto de los arts. 468, apartado b), y 453.2, en el inciso “por falta grave”, de la Ley Orgánica 2/1989, de 13 de abril, procesal militar, por posible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4-9-2003) interpuesto el 24 de enero de 2003 por el cabo primero de la Guardia Civil don Juan Miguel Gasco Paredes, con destino en el destacamento de tráfico de Logroño, una vez agotada la vía administrativa previa, contra la sanción de reprensión impuesta en fecha 12 de noviembre de 2002 por el teniente jefe del destacamento, como responsable de una falta leve disciplinaria prevista en el art. 7.9 de la Ley Orgánica 11/1991, de 17 de junio, de régimen disciplinario de la Guardia Civil. Una vez concluso el procedimiento, y antes de dictar Sentencia, la Sala de lo Contencioso-Disciplinario del Tribunal Militar Territorial Cuarto, mediante providencia de 30 de junio de 2003,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Tanto el Fiscal como el Abogado del Estado manifestaron su oposición al planteamiento de la cuestión, mientras que la postura del recurrente fue favorable al planteamiento de la cuestión de inconstitucionalidad. La Sala dictó Auto con fecha 30 de julio de 2003,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30 de julio de 2003,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2003, la Sección Cuarta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presentado en este Tribunal el 13 de octubre de 2003,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esto es, por la existencia eventual de motivos de impugnación de las sanciones de pura legalidad ordinaria que no tuvieran cabida en un procedimiento sumario, de forma que la Sala proponente de la cuestión debería haber justificado la relevancia de las normas cuestionadas por la existencia de algún vicio de legalidad ordinaria que fuera inadecuado examinar en un procedimiento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recibido el 16 de octubre de 2003,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16 de octubre de 2003 se recibió escrito del Presidente del Senado, en el que comunicaba que la Cámara se personaba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31 de octubre de 2003,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detallada exposición de los antecedentes del caso y de la doctrina constitucional en relación con el contenido del derecho a la tutela judicial efectiva consagrado en el art. 24.1 CE, señala el Fiscal General del Estado que los preceptos impugnados no se adecuan a las exigencias constitucionales de aquel derecho,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fundamento jurídico 5. Por tanto, la regulación cuestionada debe ser considerada contraria no sólo a las exigencias derivadas del derecho a la tutela judicial efectiva, sino también de los arts. 106.1 y117.5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 Concluye el Fiscal General del Estado que ni siquiera el reconocimiento de que la disciplina forme parte esencial de la organización militar puede determinar que se considere compatible con la Constitución la regulación cuestionada, pues como se reconocía en la STC 202/2002, fundamento jurídico 5, el lugar que la disciplina debe ocupar en la organización castrense podría justificar el reconocimiento de “determinadas restricciones …, pero ello no implica que tal ordenación pueda escapar a los principios constitucionales, tal como viene expresa y terminantemente expuesto por el art. 8.2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extinguida la cuestión de inconstitucionalidad núm. 5219-2003, por desaparición sobrevenida de su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