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junio de 2004 tuvo entrada en el Registro General de este Tribunal escrito de la Sala de lo Contencioso-Disciplinario del Tribunal Militar Territorial Cuarto, con sede en A Coruña, al que se acompaña, junto con el testimonio del recurso contencioso-disciplinario ordinario núm. 4-4-2003, que se tramita ante dicha Sala, el Auto de 20 de mayo de 2004, por el que se acuerda plantear cuestión de inconstitucionalidad respecto de los arts. 468, apartado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La presente cuestión de inconstitucionalidad tiene su origen en el recurso contencioso-disciplinario ordinario (núm. 4-4-2003) interpuesto el 20 de enero de 2003 por el comandante del Ejército de tierra don Antonio LLuna de la Peña, con destino en el Rimix Garellano 45 de Munguía, Vizcaya, una vez agotada la vía administrativa previa, contra la sanción de cuatro días de arresto impuesta por el teniente coronel jefe del batallón de infantería ligera Legazpi III 45, como responsable de una falta leve prevista en el art. 7.34 de la Ley Orgánica 8/98, de 2 de diciembre, de régimen disciplinario de las Fuerzas Armadas. Una vez concluso el procedimiento, y antes de dictar Sentencia, la Sala de lo Contencioso-Disciplinario del Tribunal Militar Territorial Cuarto, mediante providencia de 3 de mayo de 2004,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Tanto el Fiscal como el Abogado del Estado manifestaron su oposición al planteamiento de la cuestión, mientras que el recurrente consideró que, a pesar de ir contra sus intereses, ya que retrasaría la Sentencia, debía plantearse la cuestión de inconstitucionalidad impulsándola con la mayor celeridad. La Sala dictó Auto con fecha 20 de mayo de 2004,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20 de mayo de 2004,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julio de 2004, la Sección Primera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en este Tribunal el 22 de julio de 2004,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insistiendo en que la inconstitucionalidad por lesión del art. 24 CE habría de quedar justificada por la situación de indefensión, a lo que añadió la consideración de que la Sala proponente de la cuestión debería haber justificado la relevancia de las normas cuestionadas por la existencia de algún vicio de legalidad ordinaria que fuera inadecuado examinar en un procedimiento sumario. Solicita la acumulación de la presente cuestión a la núm. 6188-2002.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recibido el 13 de septiembre de 2004, el Presidente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13 de septiembre de 2004 se recibió escrito del Presidente del Senado, en el que comunicaba que la Cámara se personaba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14 de septiembre de 2004,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Tras una detallada exposición de los antecedentes del caso y de la doctrina constitucional en relación con el contenido del derecho a la tutela judicial efectiva consagrado en el art. 24.1 CE, se remite el Fiscal General del Estado a las alegaciones efectuadas en las cuestiones de inconstitucionalidad núms. 6188-2002 y 4204-2003, similares a la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3658-2004,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