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noviembre de 2006 tuvo entrada en el Registro General de este Tribunal escrito de la Sala de lo Contencioso-Disciplinario del Tribunal Militar Territorial Cuarto, con sede en A Coruña, al que se acompaña, junto con el testimonio del recurso contencioso-disciplinario ordinario núm. 4-2-2006, que se tramita ante dicha Sala, el Auto de 3 de noviembre de 2006, por el que se acuerda plantear cuestión de inconstitucionalidad respecto de los arts. 468, apartado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contencioso-disciplinario ordinario (núm. 4-2-2006) interpuesto el 21 de abril de 2006 por el guardia civil don José Herrero Fernández de Truchuelo, con destino en el núcleo de servicios de la compañía de Plana Mayor de la comandancia de la Guardia Civil de Álava, una vez agotada la vía administrativa previa, contra la sanción de reprensión impuesta en fecha 19 de enero de 2006 por el capitán jefe de la compañía de plana mayor, como responsable de una falta leve disciplinaria prevista en el art. 7.14 de la Ley Orgánica 11/1991, de 17 de junio, de régimen disciplinario de la Guardia Civil bajo el concepto “la falta de respeto a los superiores”. Una vez concluso el procedimiento, y antes de dictar Sentencia, la Sala de lo Contencioso-Disciplinario del Tribunal Militar Territorial Cuarto, mediante providencia de 22 de septiembre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Tanto el Fiscal como el Abogado del Estado manifestaron su oposición al planteamiento de la cuestión, mientras que el recurrente consideró que sí debía plantearse dicha cuestión y que la misma debía comprender también el art. 64.3 de la Ley Orgánica 11/1991, de 17 de junio, de régimen disciplinario de la Guardia Civil, pues dicho precepto también vulnera el art. 24.1 CE en el inciso “tan solo cabrá interponer el recurso contencioso-disciplinario militar preferente y sumario regulado en el artículo 518 de la Ley Orgánica 2/1989, de 13 de abril, en la forma y con los efectos previstos en dicho precepto”. La Sala dictó Auto con fecha 3 de noviembre de 2006,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3 de noviembre de 2006,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diciembre de 2006, la Sección Tercera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en este Tribunal el 26 de diciembre de 2006,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remisión reiterada en las posteriores cuestiones núm. 4204-2003, 5219-2003, 6503-2005 y 8783-2006. No obstante, destaca que los fundamentos alegados en la demanda por el recurrente hubieran tenido perfecta cabida en el procedimiento sumario, pues todos los apartados relativos a los motivos sustantivos de impugnación contenidos en dicho escrito vienen encabezados por la expresa invocación de un derecho fundamental. Si bien el Auto de planteamiento funda la pertinencia de la cuestión en la improcedencia de que en el procedimiento abreviado puedan plantearse cuestiones de legalidad ordinaria, el Abogado del Estado señala que no se alcanza a comprender qué indefensión podría haberse causado por la secuencia del procedimiento abreviado en un supuesto en el que el demandante no invoca otros preceptos que los constitucionales, ni en consecuencia qué relevancia real puedan tener las normas cuestionadas por el Auto. A su juicio, lo tutelado en el art. 24 CE no es la elección libre de procedimiento, sino la interdicción de la indefensión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16 de enero de 2007,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Para evitar repeticiones innecesarias se remite en un todo a lo alegado en las cuestiones de inconstitucionalidad idénticas registradas con los números 4204-2003, 1096-2006, 8783-2006, 9156-2006 y 10204-2006, y en particular a lo alegado en la cuestión de inconstitucionalidad núm. 6188-2002 derivada de la STC 202/2002, de 28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recibido el 16 de enero de 2006, el Presidente del Congreso de los Diputados comunicó a este Tribunal que la Cámara se personaba en el procedimiento y ofrecía su colaboración a los efectos del art. 88.1 LOTC, con remisión del recurso a la dirección de estudios y documentación y al departamento de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31 de enero de 2007 se recibió escrito del Presidente del Senado, en el que comunicaba que la Cámara se personaba en el proceso ofreciendo su colaboración a los efectos del art. 88.1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10205-2006,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