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30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19 de abril de 2011, el Procurador de los Tribunales don Julián Caballero Aguado, en nombre de don Francisco Fuster González de la Riva y de don Joaquín María Fuster González de la Riva, interpone recurso de amparo contra la Sentencia de la Sección Segunda de la Audiencia Provincial de Palma de Mallorca, recaída en recurso de apelación núm. 480-2009 formulado contra la dictada por el Juzgado de lo Penal núm. 3 de Palma de Mallorca en procedimiento abreviado núm. 474-2008.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recurrentes fueron condenados por el Juzgado de lo Penal núm. 3 de Palma de Mallorca, mediante Sentencia de 26 de junio de 2009, como autores responsables de una falta de injurias leves con publicidad, tipificada en el art. 620.2 del Código penal.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de apelación por las dos partes del proceso, la Audiencia Provincial de Palma de Mallorca, en Sentencia de 30 de septiembre de 2010, comparte expresamente los argumentos y doctrina del juzgador de instancia en lo relativo a la ausencia de prescripción del delito de injurias (dado que la acusación se formuló por un delito de injurias graves), pero no así la consideración de la injuria como leve, en consonancia con lo alegado por la acusación particular. En consecuencia, revoca la Sentencia impugnada y condena a los recurrentes en amparo por un delito de injurias con publicidad, a la pena de nueve meses de multa, a razón de una cuota diaria de diez euros, con la responsabilidad penal subsidiaria prevista en el art. 53 del Código penal, debiendo indemnizar ambos, en vía de responsabilidad civil y de modo subsidiario, a Joaquín Cotoner Goyeneche, en la cantidad de nueve mil euros por los daños morales sufridos y abordar el pago de la totalidad de las costas procesales por mitades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la demanda de amparo se alega vulneración de la tutela judicial efectiva (art. 24 CE), del derecho a la libertad y a la seguridad personal (art. 17.1 CE), y del derecho a la legalidad penal (art. 25.1 CE). Los demandantes aducen que, estando probado que el 18 de septiembre de 2004 ocurrieron los hechos enjuiciados y que el Auto de admisión de la querella es de 8 de noviembre de 2005, ha vencido el plazo del año previsto en el art. 131.1 in fine del Código penal para la prescripción de los delitos de injurias, de acuerdo con la doctrina del Tribunal Constitucional que se desprende de las SSTC 63/2005, de 14 de marzo, y 29/2008, de 20 de febrero, argumentando que los órganos judiciales incurren en una negativa manifiesta del deber de acatamiento de la doctrina del Tribunal Constitucional (art. 5 de la Ley Orgánica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acuerdo con el art. 56.2 de la Ley Orgánica del Tribunal Constitucional (LOTC) y mediante escrito registrado en este Tribunal el 27 de junio de 2011, solicitan la suspensión cautelar de la ejecución de la Sentencia combatida en amparo, al entender que dicha ejecución “convertiría en ilusorios los efectos de una futura y eventual estimación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19 de diciembre de 2011, la Sección Primera del Tribunal Constitucional acordó la admisión a trámite del recurso de amparo y ordenó que se formase la presente pieza separada de suspensión, concediendo, de conformidad con lo dispuesto en el art. 56 LOTC, un plazo común de tres días al Ministerio Fiscal y a los recurrentes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conferido mediante escrito presentado el 23 de diciembre de 2011, en el que expone, de conformidad con la reiterada doctrina de este Tribunal, que la suspensión es una medida provisional de carácter excepcional y de aplicación restrictiva, por lo que considera que no es procedente la suspensión de la pena impuesta, al revestir un carácter meramente económico, sin que su cumplimiento produzca perjuicios irreparables para los condenados, habida cuenta de que cabe la íntegra restitución de lo que fuere objeto de cumplimiento, en el caso de una eventual estimación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en amparo, mediante escrito registrado con fecha 22 de diciembre de 2011, manifiestan que ya han pagado el importe de las penas de multa impuestas, así como el correspondiente a la responsabilidad civil, por lo que solicitan la suspensión de la condena en lo referente a la obligación del pago de las costas causadas por la acusación particular. Justifican esta solicitud argumentando que, de no suspenderse la condena, el perjuicio ya sufrido hasta la fecha se vería incrementado injustificadamente.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de la Ley Orgánica del Tribunal Constitucional (LOTC), “la interposición del recurso de amparo no suspenderá los efectos del acto o sentencia impugnados”. Este primer apartado ha de conectarse con lo previsto en los demás apartados del citado art. 56 LOTC, particularmente con el segundo, que fija: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interpretación de dicho precepto, resultado de la reforma de la Ley Orgánica 6/2007, este Tribunal ha declarado (por todos, ATC 1/2011, de 14 de febrero) que la nueva redacción del art. 56.2 LOTC tiene un contenido similar al anterior art. 56.1 LOTC, por lo que ha de mantenerse la línea doctrinal fijada en los AATC 17/1980, de 24 de septiembre; 257/1986, de 19 de marzo; 294/1989, de 5 de junio; 141/1990, de 27 de marzo; 35/1996, de 12 de febrero; 287/1997, de 21 de julio; 185/1998, de 15 de febrero; 86/1999, de 12 de abril y 99/1999, de 26 de abril, entre otros muchos, en los que se sostiene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de 25 de mayo,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doctrina general ahora expuesta,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más recientemente, ATC 1/2011,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en concreto, en cuanto a la ejecución de las Sentencias penales que condenan al pago de una multa, nuestra doctrina viene señalando, como se recuerda en los AATC 135/1999, de 31 de mayo, FJ 3; 83/2001, de 23 de abril, FJ 2; y 261/2001, de 15 de octubre, FJ 4; que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resulta asimismo aplicable a la condena en costas procesales pues, al entrañar un pago en dinero, su ejecución no provoca ningún perjuicio que pueda hacer inútil el recurso de amparo (AATC 116/2000, de 5 de mayo; 44/2001, de 26 de febrero, y 161/2001, de 18 de junio,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presente caso de la doctrina reseñada conduce a denegar la suspensión de la Sentencia recurrida, pues los recurrentes en amparo se han limitado a alegar, de manera exclusiva, que el pago de las costas a la acusación particular (en cantidad líquida aún por determinar, al hallarse pendiente impugnación formulada por los recurrentes frente a la tasación) les supondría un perjuicio añadido y desproporcionado, puesto que ya han abonado la multa y el importe de la responsabilidad civil a las que fueron condenados. En ningún momento aducen que el pago de las costas les produzca un quebranto grave en su economía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anterior, ha de concluirse que la condena al pago de las costas procesales no hace perder al amparo su finalidad, ni comporta —como advierte el Ministerio Fiscal— un perjuicio patrimonial irreversible para los recurrentes. No se ha acreditado (ni siquiera alegado) por éstos la existencia de circunstancias que hagan pensar razonablemente que el abono de las costas pueda comprometer los mínimos de subsistencia de los recurrentes (por todos, AATC 143/1997, de 19 de mayo; 189/1999, de 15 de julio, y 161/2001, de 18 de junio), ni tampoco que concurra una eventual situación de insolvencia de la acusación particular que pudiera provocar, en caso de estimarse el amparo, la imposibilidad de restitución de la cantidad abonada en concepto de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