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31 de enero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19 de mayo de 2010, el Procurador de los Tribunales don Javier Cuevas Ribas, en nombre y representación de doña María Josefa Uzkudun Etxenagusia, interpuso recurso de amparo contra el Auto de 17 de agosto de 2009, dictada por la Sección Segunda de la Sala de lo Penal de la Audiencia Nacional, en la ejecutoria núm. 30-1996, dimanante del sumario núm. 1-1985 procedente del Juzgado Central de Instrucción núm. 5, por el que se aprueba la fecha de licenciamiento definitivo del recurrente, y Sentencia 195/2010, de 24 de febrero, de la Sala Segunda del Tribunal Supremo, que desestima el recurso de casación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son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demandante de amparo fue condenado a diversas penas privativas de libertad cuya suma supera los treinta años de duración, si bien, de conformidad con el art. 70 del Código penal de 1973, una vez operada la oportuna refundición de condenas, éste es el límite máximo de cumplimiento efectivo.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17 de agosto de 2010, la Sección Segunda de la Sala de lo Penal de la Audiencia Nacional dictó Auto en el que se denegaba la fecha de licenciamiento prevista para el 27 de agosto de 2009, aprobaba el licenciamiento definitivo del penado para el día 5 de febrero de 2021.</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c) Contra dicho Auto interpuso el demandante recurso de casación, que fue desestimado por Sentencia del Tribunal Supremo de 24 de febrero de 2010 que, del mismo modo que la providencia impugnada, se sustenta en el criterio iniciado por la Sala de lo Penal del Tribunal Supremo con la Sentencia 197/2006, de 28 de febrero, con arreglo al cual el beneficio de redención de penas por el trabajo consagrado en el art. 100 del Código penal de 1973 ha de aplicarse, no a ese máximo de cumplimiento de treinta años, sino a cada una de las penas impuestas en las diversas causas.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impugnadas han vulnerado los derechos a la defensa y a un proceso con todas las garantías (art. 24.2 CE), a la libertad (art. 17.1 CE), a la tutela judicial efectiva (art. 24.1 CE), a la legalidad penal (art. 25.2 CE) así como los principios de seguridad jurídica e irretroactividad (art. 9.3 CE), y al principio de que las penas privativas de libertad han de estar orientadas hacia la reeducación y reinserción social (art. 25.2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otrosí, el recurrente solicitaba la suspensión de la ejecución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por providencia de 14 de abril de 2011, acordó admitir a trámite la demanda de amparo y, en aplicación de lo dispuesto en el art. 51 de la Ley Orgánica del Tribunal Constitucional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igual fecha, se acordó formar la oportuna pieza para la tramitación del incidente de suspensión y, de conformidad con lo dispuesto en el art. 56.4 LOTC, otorgar un plazo común de tres días al demandante de amparo y al Ministerio Fiscal para que formulasen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de amparo evacuó el citado trámite a través de un escrito presentado en el Registro General de este Tribunal el 4 de mayo de 2011, en el que reiteró su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presentado el 17 de mayo de 2011, pide que se deniegue la suspensión solicitada, en atención al criterio seguido por este Tribunal en el ATC 206/2010, de 30 de diciembre, que resolvió una petición dimanante de un recurso sustancialmente igual al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18 de enero de 2012, la Sala Segunda de este Tribunal, acordó avocar al Pleno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y 9/2003, de 20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este criterio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Conforme ha quedado expuesto, el recurrente en amparo impugna el Auto de 17 de agosto de 2009 de la Audiencia Nacional por el que se aprueba la fecha de licenciamiento definitivo del recurrente, y la Sentencia del Tribunal Supremo de 24 de febrero de 2010 que confirma el anterior, de modo que las resoluciones judiciales recurridas en amparo no son aquellas que impusieron las penas privativas de libertad sino las que aprobaron el licenciamiento definitivo del penado aplicando el criterio jurisprudencial acogido por la Sala de lo Penal del Tribunal Supremo a partir de su Sentencia 197/2006, de 28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lo que el recurrente pretende es que este Tribunal acuerde cautelarmente su inmediata puesta en libertad en tanto se resuelva el recurso de amparo y, en consecuencia, se pronuncie sobre si el recurrente habría cumplido ya su condena el día 27 de agosto de 2009 (según sostiene el demandante) o si, en cambio, no la extingue hasta el día 5 de febrero de 2021 (como es el criterio de las resoluciones impugnadas), pues lo contrario, añade el recurrente, le produciría un perjuicio irreparable, en el caso de otorgarse finalmente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dijimos en el ATC 214/2007, de 16 de abril, dictado en un caso similar, “ponderando los intereses en juego en los términos anteriormente expuestos, este Tribunal entiende que ha de prevalecer el interés general en mantener la eficacia de las resoluciones judiciales, a la vista de la gravedad de los hechos por los que el recurrente se encuentra cumpliendo condena y de las penas impuestas, como pone de relieve el Ministerio Fiscal, así como de la lejanía del tiempo de cumplimiento definitivo de la misma en la apreciación llevada a cabo por las resoluciones impugnadas, lo que determinaría que la pérdida de la finalidad del amparo, caso de otorgarse el mismo, sería sólo parcial y puede atemperarse otorgando al recurso una tramitación preferente” (FJ 3). A lo anterior se añade la circunstancia de que la puesta en libertad del recurrente supondría, al menos parcialmente, un otorgamiento anticipado del amparo que se solicita, lo que desnaturalizaría el carácter cautelar de la medida (por todos, AATC 132/1982, de 31 de marzo, FJ único; 292/2005, de 4 de julio, FJ 2; 3/2006, de 16 de enero, FJ 2; 3/2011, de 14 de febrero, FJ único; o 92/2011, de 20 de junio, FJ 3). Ello conduce a la denegación de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solicitada por doña María Josefa Uzkudun Etxeganusia en el recurso de amparo núm. 4169-2010.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