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31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11 de octubre de 2010, el Procurador de los Tribunales don Javier Cuevas Ribas, en nombre y representación de don Luis María Lizarralde Izagirre, interpuso recurso de amparo contra la providencia de 18 de noviembre de 2009, dictada por la Sección Tercera de la Sala de lo Penal de la Audiencia Nacional, en la ejecutoria núm. 60-1996, dimanante del sumario núm. 1-1981 procedente del Juzgado Central de Instrucción núm. 5, por el que se aprueba la fecha de licenciamiento definitivo del recurrente, contra el Auto de 16 de diciembre de 2009 de la misma Sala, que desestima el recurso de súplica interpuesto y confirma la providencia anterior, y contra el Auto de 8 de julio de 2010, dictado por la Sala de lo Penal del Tribunal Supremo, que inadmite el recurso de casación interpuesto contra las anteriores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que las resoluciones judiciales impugnadas han vulnerado los derechos a la libertad (art. 17.1 CE), a la tutela judicial efectiva (art. 24.1 CE), así como los principios de seguridad jurídica e irretroactividad (art. 9.3 CE), y al principio de que las penas privativas de libertad han de estar orientadas hacia la reeducación y reinserción social (art. 25.2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otrosí, el recurrente manifestaba ser conocedor de las resoluciones de este Tribunal dictadas, en demandas similares a la presente, al decidir sobre la solicitud de suspensión de la ejecución de las resoluciones impugnadas, en las que se acordaba su denegación. Por ello, solicitaba la tramitación y resolución urgente del recurso por estar directamente afectado el derecho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 este Tribunal, por providencia de 14 de abril de 2011, acordó admitir a trámite la demanda de amparo y, en aplicación de lo dispuesto en el art. 51 de la Ley Orgánica del Tribunal Constitucional (LOTC), dirigir sendas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igual fecha, se acordó formar la oportuna pieza para la tramitación del incidente de suspensión y, de conformidad con lo dispuesto en el art. 56.4 LOTC, otorgar un plazo común de tres días al demandante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demandante de amparo evacuó el citado trámite a través de un escrito presentado en el Registro General de este Tribunal el 3 de mayo de 2011, en el que manifestó que en la demanda de amparo no se solicitaba la suspensión de la ejecución de las resoluciones recurridas, sino la tramitación y resolución urgente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presentado el 17 de mayo de 2011, solicita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Advertido por el propio demandante, tal como se refleja en el antecedente número cuatro, que no ha solicitado la suspensión de la ejecución de las resoluciones recurridas, resulta procedente en este trámite acordar el archivo de la presente pieza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 pieza separada de suspensión del recurso de amparo núm. 7325-2010.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