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28 de febrero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la cuestión de inconstitucionalidad núm. 5742-2001, promovida por la Sección Primera de la Sala de lo Contencioso-Administrativo del Tribunal Superior de Andalucía con sede en Sevilla, se discute la constitucionalidad de la disposición transitoria cuarta de la Ley del Parlamento de Andalucía 8/1997, de 23 de diciembre, por la que se aprueban medidas en materia tributaria, presupuestaria, de empresas de la Junta de Andalucía y otras entidades, de recaudación, de contratación, de función pública y de fianzas de arrendamientos y suministros.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21 de febrero de 2012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137-1997, de 23 de octubre, relativo al anteproyecto de ley por la que se aprueban medidas en materia tributaria, presupuestaria, de empresas de la Junta de Andalucía y otras entidades, de recaudación, de contratación, de función pública y de fianzas de arrendamientos y suministros.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Elisa Pérez Vera,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Presidenta del Consejo Consultivo de Andalucía, en la adopción del dictamen emitido por dicho órgano sobre el anteproyecto de ley por la que se aprueban medidas en materia tributaria, presupuestaria, de empresas de la Junta de Andalucía y otras entidades, de recaudación, de contratación, de función pública y de fianzas de arrendamientos y suministros, lo que puede integrarse en las causas 13 y 16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Elisa Pérez Vera en la cuestión de inconstitucionalidad núm. 5742-2001, apartándola definitivamente del conocimiento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