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27 de febrero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298-2011, promovido por don Jesús Rodríguez Romero, representado por la Procuradora de los Tribunales doña Isabel de la Misericordia García y asistido por el Abogado don Juan Antonio Romero Campano, contra la Sentencia de 26 de julio de 2010 de la Sección Quinta de la Audiencia Provincial de Málaga recaída en el rollo de apelación núm. 980-2009 y contra el Auto de 17 de noviembre de 2010 de la misma Sección y rollo, por el que se desestimó el incidente de nulidad promovido frente aquélla. Ha intervenido el Ministerio Fiscal y la junta de compensación Bizcochero Capitán, representada por la Procuradora doña Blanca Murillo de la Cuadra y dirigida por el Letrado don José Carlos Quero Gómez. Ha sido Ponente el Magistrado don Ramón Rodríguez Arribas, quien expresa el parecer de la Sala.</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enero de 2011, la Procuradora de los Tribunales doña Isabel de la Misericordia García, en nombre y representación de don Jesús Rodríguez Romero,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don Jesús Rodríguez Romero, interpuso demanda de juicio ordinario frente a la junta de compensación Bizcochero Capitán, para la reclamación de los daños que sufrió a consecuencia de que la vía, de la titularidad de la mencionada junta y por la que circulaba en motocicleta, se hallaba obstaculizada por dos vallas de hormigón sin señalizar, con las que colisionó.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de compensación contestó a la demanda invocando, entre otras excepciones, la de prescripción de la acción, al dirigir el actor su reclamación en primer lugar contra el Ayuntamiento, no haciéndolo contra ella sino transcurrido más de un año desde el accidente, siendo imputable a su falta de diligencia el conocimiento tardío de a quién pertenecía el vial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primera instancia, el Juzgado de Primera Instancia núm. 3 de Málaga dictó Sentencia de 2 de octubre de 2008, estimatoria de la demanda y desestimatoria, a su vez, de la excepción. Según su fundamento jurídico tercero: “Tal interpretación —la realizada por la parte demandada recién expuesta— no puede ser acogida por el tribunal, no sólo por el carácter restrictivo del instituto de la prescripción sino porque con el ejercicio de la reclamación judicial vía contenciosa fue donde tuvo conocimiento el actor de la negativa del Ayuntamiento a asumir su responsabilidad por no haber recepcionado las obras con lo que vino en su conocimiento la posibilidad de que fuera la Junta de Compensación demandada la responsable de la conservación de la vía. Sin duda quedó interrumpida la acción por el ejercicio de la reclamación contencioso-administrativa y fue requerido extrajudicialmente la parte demandada una vez obtuvo sentencia desestimatoria, que si bien fue por un defecto formal y no por acoger el Tribunal la no responsabilidad en el siniestro, sí marca el momento donde puede el actor ejercitar la reclamación. No existe por tanto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demandada interpuso recurso de apelación, en el que exponía que la reclamación contencioso-administrativa dirigida frente a uno de los deudores no interrumpía el plazo de prescripción respecto del codeudor en el ámbito de la responsabilidad civil extracontractual, reiterando que la acción había prescrito por la desidia del actor en la conservación de su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argumento el demandante de amparo, en vía de oposición al citado recurso, replicó que en ningún momento había abandonado o hecho dejación de su derecho, sino que, una vez iniciada la reclamación frente al Ayuntamiento en el año 2005, es en el acto del juicio celebrado el 11 de mayo de 2006 cuando tuvo conocimiento de que la calle no era vial público en la fecha del accidente, por lo que con arreglo al art. 1969 del Código civil (CC), según el cual “el tiempo para la prescripción de toda clase de acciones, cuando no haya disposición especial que otra cosa determine, se contará desde el día en que pudieron ejercitarse”, sólo podía empezar a contar el plazo para la prescripción desde el instante en que se tuvo conocimiento de la entidad responsable de los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Quinta de la Audiencia Provincial de Málaga estimó el recurso de apelación, con base en que la acción había prescrito. Según su Sentencia de 26 de julio de 2010, aunque el art. 1974 CC determina que la interrupción de la prescripción aprovecha por igual a todos los deudores solidarios, la jurisprudencia del Tribunal Supremo excluye la aplicación de este régimen a los deudores unidos por vínculos de solidaridad impropia, siempre que, en este último supuesto, no hubiese motivos para suponer que tuvieron conocimiento de la reclamación dirigida frente a otro deudor y que el sujeto en cuestión hubiese sido también demandado. En el caso, Ayuntamiento y junta de compensación no podían considerarse deudores solidarios, por lo que no podía afectar a esta última la reclamación dirigida frente a la primera en fecha de 17 de octubre de 2005. El plazo de un año para la prescripción de la acción del art. 1968.2 CC, por tanto, debía entenderse entonces transcurrido, dado que, produciéndose el accidente el día 16 de noviembre de 2004, se requirió de pago a la junta demandada en fecha de 7 de junio de 2006, esto es, ya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esta Sentencia, el recurrente interpuso incidente de nulidad de actuaciones en el que denunció que la misma había incurrido en incongruencia omisiva y arbitrariedad, con resultado de indefensión (arts. 24.1 y 9.3 CE), al no dar respuesta la alegación sustancial formulada en el escrito de oposición a la apelación, consistente en que la acción de responsabilidad civil, con arreglo al art. 1969 CC, no pudo ejercitarse sino desde el momento en que se tuvo conocimiento de la persona presuntamente responsable de los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Conferido traslado a la parte contraria, la Audiencia Provincial desestimó el incidente, por Auto de 17 de noviembre de 2010, por entender que no existía en la Sentencia defecto formal alguno y, menos aún, que hubiese generado indefensión, limitándose el escrito promotor de aquél a reflejar el mero “desacuerdo por parte del entonces apelado con los razonamientos y el fallo de la sentencia, que intenta combatir ahora, de forma extemporánea y por un cauce procesal absolutamente inadecuado … En definitiva, no existe causa de nulidad ni vulneración de derecho fundamental alguna, sino pretensión de una nueva revisión del asunto de la litis reiterando lo alegado en el escrito de oposición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el recurrente invoca la vulneración del derecho a la tutela judicial efectiva (art. 24.1 CE), que imputa a la Sentencia de 26 de julio de 2010 de la Audiencia Provincial y al Auto dictado por la misma Sección de 17 de noviembre de 2010 por incurrir ambas resoluciones en incongruencia omisiva. Según el recurrente, en la instancia y en el recurso de apelación formuló en tiempo oportuno una alegación sustancial, determinante del sentido del fallo en relación con la excepción de prescripción aducida de contrario, a saber, que con arreglo al art. 1969 CC debía ser considerado como dies a quo para el cómputo del plazo el momento en que el actor pudo tener conocimiento real de quién era la entidad responsable del estado del vial donde ocurrió el accidente; fecha que el demandante de amparo concretaba en el día de la vista del procedimiento contencioso-administrativo entablado contra el Ayuntamiento. Esta alegación, sin embargo, no obtuvo respuesta en segunda instancia —señala el recurrente— como tampoco la obtuvo cuando suscitó dicha falta de pronunciamiento en el incidente de nulidad de actuaciones, el cual se desestimó mediante el empleo de fórmulas estereotipadas en el Auto igualmente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julio de 2011, la Sala Segunda de este Tribunal Constitucional resolvió admitir a trámite la demanda presentada y, en aplicación de lo dispuesto en el art. 51 de la Ley Orgánica del Tribunal Constitucional (LOTC), acordó dirigir atenta comunicación a la Sección Quinta de la Audiencia Provincial de Málaga, a fin de que en plazo que no excediera de diez días remitiese certificación o fotocopia adverada de las actuaciones correspondientes al rollo núm.980-2009, así como atenta comunicación al Juzgado de Primera Instancia núm. 3 de Málaga para la remisión de certificación o fotocopia adverada de las actuaciones correspondientes al juicio ordinario núm. 736-2007 y el emplazamiento de quienes hubieran sido parte en el procedimiento, a excepción del demandante de amparo, para que si lo deseaban pudiesen comparecer en el recurso en 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por los órganos citados y personado la junta de compensación Bizcochero Capitán mediante escrito con fecha de entrada de 28 de septiembre de 2011, por diligencia de ordenación de la Secretaría de la Sala Segunda de este Tribunal Constitucional, de 29 de septiembre de 2011, se tuvo por personada y parte en el procedimiento a la Procuradora doña Blanca Murillo de la Cuadra, en nombre y representación de la junta de compensación Bizcochero Capitán, defendida por el Letrado don José Carlos Quero Gómez, y se acordó dar vista de las actuaciones recibidas a las partes personadas y al Ministerio Fiscal, por plazo común de veinte días, a fin de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de 11 de noviembre de 2011, en el que solicitó la desestimación de la demanda de amparo. Conforme a éste, la Sentencia de la Audiencia Provincial estimó la excepción de prescripción sobre la base de que los plazos de la misma para uno y otro sujeto, Ayuntamiento y junta de compensación, debían tener fechas de cómputo inicial y final distintos al no tratarse de deudores solidarios. Respecto de la junta, partiendo de que el accidente ocurrió el 16 de noviembre de 2004 y que la reclamación extrajudicial frente a la misma se llevó a cabo el 7 de junio de 2006, consideró que el plazo de un año determinado por el art. 1968.2 CC para el ejercicio de la acción de responsabilidad extracontractual había transcurrido. Así, no puede entenderse a juicio del Ministerio público, que con su respuesta la Audiencia Provincial alterara el debate procesal sometido a la misma, ni que dejara de contestar a la cuestión relativa a cuál debía ser considerado el dies a quo del cómputo (el del accidente, según la Sentencia), que se aborda sencillamente desde distinta óptica, pero respondiendo en todo caso a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al Auto resolutorio del incidente de nulidad de actuaciones, tampoco apreciaba en el escrito vulneración de derecho fundamental alguno, dado que el solicitante fundamentaba la lesión en el cómputo erróneo del plazo de la prescripción, de suerte que entonces la remisión a la Sentencia para justificar que no se produjo indefensión no parece incongruente.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don Jesús Rodríguez Romero, evacuó el trámite de alegaciones conferido mediante escrito registrado en fecha 28 de diciembre de 2011, en el que, en lo sustancial, reiteró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junta de compensación Bizcochero Capitán dedujo a su vez alegaciones mediante escrito registrado en fecha 4 de noviembre de 2011, en el que se opuso a la estimación del recurso de amparo. En su opinión, la Sentencia de la Audiencia Provincial había dado efectiva respuesta a la cuestión planteada, que consistía, de acuerdo con lo suscitado en el recurso de apelación, en corregir el criterio equivocado de la Sentencia de primera instancia relativo a que el plazo de prescripción se había interrumpido por la reclamación contencioso-administrativa dirigida por el demandante de amparo contra el Ayuntamiento. Para esta parte, la cuestión a valorar no es tanto el momento en que el actor tuvo conocimiento de la identidad del presunto responsable de los daños —sobre lo que el Juzgado tampoco respondió, sin protesta por el ahora recurrente—, sino su falta de diligencia en la indagación de aquél, como se sostuvo por la Sentencia recurrida y quedó acreditado por su parte, al aportar el documento remitido por el Ayuntamiento en respuesta a su pregunta sobre la titularidad del vial. La Audiencia Provincial, en definitiva, respondió en forma global a la excepción de prescripción, tomando en consideración cuantos hechos resultaron probados y aplicando a los mismos el Derecho, por más que su respuesta no satisficiera el interés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incongruencia omisiva que se imputa al Auto de 17 de noviembre de 2010, la junta de compensación también descarta que la resolución incurriese en ella, toda vez que el recurrente se limitó a reproducir en el escrito interponiendo el incidente de nulidad de actuaciones los mismos argumentos que había expuesto en el escrito de oposición al recurso de apelación, como si aquél integrase una tercera instancia, cuando su objeto lo constituyen únicamente los defectos de forma causantes de indefensión material y efectiva. Indefensión que no concurre en el presente caso —añade— en el que el órgano a quo resuelve sobre una cuestión de legalidad ordinaria, la prescripción, de forma razonable y no incursa en error ni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febrero de 2012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26 de julio de 2010 de la Sección Quinta de la Audiencia Provincial de Málaga, a la que el demandante atribuye la vulneración del derecho a la tutela judicial efectiva en su concreta dimensión de derecho a una resolución congruente (art. 24.1 CE), por estimar el recurso de apelación interpuesto frente a la Sentencia de primera instancia sin dar respuesta a una alegación de la parte recurrida, oportunamente introducida en el proceso, que el recurrente en amparo califica de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dirige la demanda contra el Auto de 17 de noviembre de 2010 de la misma Sección y rollo, por el que se desestimó el incidente de nulidad presentado contra la anterior Sentencia y respecto del que el recurrente sostiene que igualmente ha incurrido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varias las quejas formuladas, es necesario indicar a continuación cuál ha de ser el orden en que las examinaremos, conforme a los criterios expuestos en nuestra jurisprudencia, en los que reiteradamente hemos concedido prioridad a aquellas causas de las que pudiera derivarse la retroacción de actuaciones y dentro de éstas, a las que determinan la retroacción a un momento procesal anterior, lo que haría innecesario un pronunciamiento sobre las restantes. (STC 90/2010, de 15 de noviembre, FJ 2 y las que en ella se citan, SSTC 40/2004, de 22 de marzo, FJ 1; 169/2005, de 20 de junio, FJ 2; 219/2007, de 8 de octubre, FJ 3; o 182/2009, de 7 de septiembre, FJ 3). Ello implica en este caso que debemos analizar, en primer término, la incongruencia omisiva que se predica de la Sentencia de la Audiencia Provincial, al conllevar en su caso la estimación del recurso por este motivo la retroacción de actuaciones al momento precedente al dictado de la Sentencia en el recurso de apelación, cronológicamente anterior a la resolución del incidente de nulidad frente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del presente recurso de amparo, debe recordarse, para su mejor resolución, la doctrina dictada por este Tribunal en torno a la prohibición de incongruencia omisiva o ex silentio, recopilada, entre otras muchas, en las SSTC 52/2005, de 14 de marzo; 4/2006, de 16 de enero; 85/2006, de 27 de marzo; 138/2007, de 4 de junio; 144/2007, de 18 de junio; y 165/2008, de 15 de diciembre. Como ya dijimos, en la STC 44/2008, de 10 de marzo, FJ 2, para evitar una exposición exhaustiva de la misma baste reproducir la síntesis efectuada en la STC 40/2006, de 13 de febrero, en la cual afirmábamos: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ó 174/2004, de 18 de octubre, FJ 3; entre muchas otras). 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Al conceder más, menos o cosa distinta a lo pedido, el órgano judicial incurre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reconocido en el art. 24.1 CE. 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este sentido ha de recordarse que el principio iura novit curia permite al Juez fundar el fallo en los preceptos legales o normas jurídicas que sean de pertinente aplicación al caso, aunque los litigantes no las hubieren invocado, y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la misma Sentencia, con cita de la STC 100/2004, de 2 de junio, recordábamos: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(STC 44/2008,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autos se aprecia que la discusión se ciñe al distinto tratamiento que partes y órgano judicial dan a la cuestión pretendidamente no respondida, a saber, si la fecha del conocimiento por el perjudicado de la identidad del sujeto responsable del daño debía ser tomada como dies a quo del cómputo del plazo de la prescripción extintiva del art. 1968.2 del Código civil (CC). Mientras que el demandante de amparo, invocando la doctrina de este Tribunal contenida en la STC 144/2007, de 18 de junio, considera que se trataba de una “alegación sustancial” que merecía la respuesta del órgano sentenciador, para la parte demandada en el proceso a quo y el Ministerio Fiscal, con apoyo en la STC 73/2009, de 23 de marzo, aquella cuestión no integraba la pretensión procesal debatida, bastando a los efectos de satisfacer el derecho fundamental con la respuesta dada por la Sección juzgadora sobre la prescripción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del examen de las Sentencias dictadas por este Tribunal en la materia se constata que en la práctica la aplicación de nuestra doctrina transcrita en el fundamento anterior tropieza, como en el caso de este recurso, con la complejidad de distinguir cuándo la invocación por el demandante o el demandado de unos hechos o de una norma integra la pretensión y cuándo se trata, por el contrario, de una alegación meramente accesoria. A los estrictos efectos de delimitar el contenido del derecho fundamental invocado, baste ahora con señalar que, en el extremo atinente a las alegaciones de las partes, existirá incongruencia omisiva siempre que se produzca una falta de respuesta a la invocación de unos hechos jurídicamente determinantes del sentido del fallo, pudiendo decirse que es la incidencia en el fallo la que cualifica a la alegación haciendo que la falta de respuesta judicial a la misma ostente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los términos concretos de la alegación aquí controvertida parece evidente que ésta era determinante de la decisión. La concreción del momento inicial del plazo de prescripción, entendido con arreglo al art. 1969 CC como aquél desde el cual el recurrente tuvo conocimiento de quién era el responsable de los daños, podía conducir si tal momento se fechaba efectivamente en el postulado por el actor (el de la vista del proceso abreviado) a la conclusión de que la acción ejercitada de responsabilidad extracontractual no había prescrito, dado que desde dicha fecha (el 11 de mayo de 2006) y hasta el requerimiento extrajudicial de pago que el demandante de amparo dirigió a la parte demandada el 7 de junio de 2006 no había transcurrido el plazo de prescripción de un año establecido para la acción aquiliana en el art. 1968.2 CC. Así las cosas, la resolución sobre la cuestión planteada por el recurrente podía haber dado lugar a la desestimación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la Audiencia Provincial no respondió a la cuestión de forma expresa ni tácita. A estos efectos debe recordarse que este Tribunal no ha considerado respuesta tácita la que se desprende, sin más, de la estimación de la pretensión del contrario o de la desestimación de la propia; la respuesta tácita constitucionalmente suficiente a una cuestión recae cuando, como ha sido dicho, del conjunto de los razonamientos contenidos en la resolución puede deducirse razonablemente que el órgano judicial la ha valorado y, además, es posible identificar los motivos de la decisión. En la Sentencia recurrida, la Audiencia Provincial de Málaga se limita a descartar que la reclamación frente a uno de los deudores solidarios a título de culpa interrumpa la prescripción frente a los demás de acuerdo con el art. 1974 CC y la jurisprudencia que lo interpreta. Con dicha respuesta, sin enjuiciar ahora el error o acierto del órgano en la interpretación de la legalidad ordinaria, no puede saberse si efectivamente valoró la alegación defendida por el apelado, menos aún las razones por las cuales la desestimó. Que la reclamación frente al Ayuntamiento no podía considerarse acto interruptor del plazo de prescripción frente a la junta de compensación era indiferente al demandante de amparo, quien postulaba, no que se considerase interrumpido el plazo, sino que el cómputo debía iniciarse desde que conoció quién era el responsable del vial donde tuvo lugar el accidente. Tampoco puede considerarse que el órgano judicial de apelación respondiera implícitamente, dado que la negativa a que la reclamación frente a un posible deudor pudiera interrumpir la prescripción frente al otro deudor no conlleva necesariamente la negativa a la cuestión formulada por el demandante. En otras palabras, no integran razonamientos antitéticos o excluyentes entre sí de suerte que la estimación de uno signifique el rechazo del opuesto. Podía haberse afirmado que la reclamación frente al Ayuntamiento no afectaba a la junta y a continuación analizar si, no obstante, el plazo debía computarse como solicitaba el actor, pero no se dijo nada sobre esto ni se deduce de ninguno de los razonamientos de la Sentencia, quedando así la cuestión imprejuzgada pese a su innegable relevancia para determinar, si se estimaba, el rechazo del recurso de apelación interpuesto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debe concluirse que el derecho del demandante a la tutela judicial efectiva en su dimensión de derecho a una resolución congruente (art. 24.1 CE) fue vulnerado en la Sentencia de 26 de julio de 2010 de la Sección Quinta de la Audiencia Provincial de Málaga. Como se adelantó al inicio de estos fundamentos, la estimación del recurso de amparo por este motivo hace ya innecesario el pronunciamiento relativo a la posible vulneración del mismo derecho del recurrente en el Auto resolutorio del incidente de nulidad de actuaciones interpuesto frente a aquélla, más aún cuando tras la reforma operada en la regulación del citado incidente por la Ley Orgánica 6/2007, de 24 de mayo, éste se incardina en el sistema de garantías de los derechos fundamentales (STC 43/2010, de 26 de julio), con la finalidad de agotar la vía jurisdiccional previa al recurso de amparo, dando ocasión al órgano judicial para reparar las vulneraciones de los derechos que se cometan en resoluciones frente a las que no quepa recurso, sin que de su inadmisión o desestimación se derive, por regla general, vulneración autónoma de los mismos (STC 107/2011, de 20 de junio, FJ 1; ATC 124/2010, de 4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interpuesta por don Jesús Rodríguez Romero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demandante de amparo a la tutela judicial efectiva, en su vertiente de derecho a una resolución congruente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Quinta de la Audiencia Provincial de Málaga de 26 de julio de 2010 y del Auto del mismo órgano de 17 de noviembre de 2010, recaídos en el rollo de apelación núm. 980-2009, retrotrayendo las actuaciones al momento inmediatamente anterior al de haberse dictado la mencionada Sentencia para que se pronuncie otra resolución judicial respetuosa con el derecho a la tutela judicial efectiva del demandante de amparo.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