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marzo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promovido por doña María Lourdes Churruca Madinabeitia, representada por el Procurador de los Tribunales don Javier Cuevas Rivas, contra el Auto de la Sección Tercera de la Sala Penal de la Audiencia Nacional de 26 de octubre de 2009 (ejecutoria núm. 81-1998 del sumario núm. 25-1994 del Juzgado Central de instrucción núm. 5) que, conforme a la doctrina de la STS (Sala Segunda) núm. 197/2006, acumula condenas fijando el límite máximo, pero aplicando los beneficios y redenciones penitenciarios sobre la totalidad de las penas —de manera sucesiva—; contra el Auto del Tribunal Supremo (Sala Segunda) de 17 de junio de 2010 que inadmite el recurso de casación formalizado por la recurrente; y contra la providencia del mismo Tribunal de 24 de septiembre de 2010 que inadmite el incidente de nulidad de actuaciones. Ha intervenido el Ministerio Fiscal.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4 de noviembre de 2010 doña María Lourdes Churruca Madinabeitia, representada por el Procurador de los Tribunales don Javier Cuevas Rivas, interpuso recurso de amparo contra las resoluciones a las que se ha hecho referencia en el encabezamiento de esta Sentencia, por vulneración de sus derechos a la igualdad (art. 14 CE); a la libertad personal en relación con el principio de legalidad (art. 17 CE); a la tutela judicial efectiva (art. 24.1 CE), en su vertiente de intangibilidad de las resoluciones judiciales firmes, al derecho a la defensa, al derecho a un proceso justo con las debidas garantías (art. 24.2 CE); y por vulneración de los principios de legalidad y seguridad jurídica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del presente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integrante de los comandos Eibar (1988-1989) y Vizcaya (1993-1994) de ETA, resultó ejecutoriamente condenada por Sentencia de la Audiencia Nacional núm. 40/1996, de 26 de junio (sumario 24-1994 del Juzgado Central de Instrucción núm. 2), a dieciocho años de reclusión menor por tentativa de atentado terrorista; en Sentencia de la Audiencia Nacional núm. 53/1996, de 22 de julio (sumario 22-1994 del Juzgado Central de Instrucción núm. 2), a veinte años de reclusión menor por atentado terrorista frustrado; en Sentencia de la Audiencia Nacional núm. 43/1996, de 25 de junio (sumario 30-1995 del Juzgado Central de Instrucción núm. 5), a cinco años de prisión menor por terrorismo (tentativa); en Sentencia de la Audiencia Nacional núm. 45/1996, de 26 de junio (sumario 22-1994 del Juzgado Central de Instrucción núm. 5), a ocho años de prisión mayor por terrorismo (frustrado); en Sentencia de la Audiencia Nacional núm. 7/1997, de 28 de enero (sumario 20-1989 del Juzgado Central de Instrucción núm. 4), a doce años de prisión mayor por terrorismo, treinta años de reclusión mayor por asesinato terrorista y ocho años de prisión mayor por tenencia de explosivos; en Sentencia de la Audiencia Nacional núm. 31/1997, de 29 de julio (sumario 44-1994 del Juzgado Central de Instrucción núm. 4), a treinta años de prisión menor por atentado, cuatro años de prisión menor por robo de vehículo, cuatro años de prisión menor y multa de 400.000 pesetas por falsificación de placas de matrícula; en Sentencia de la Audiencia Nacional núm. 6/1998, de 17 de marzo (sumario 26-1993 del Juzgado Central de Instrucción núm. 5), a cinco años de prisión menor por falsificación de placa de matrícula; treinta años de reclusión mayor por atentado con asesinato, seis años de prisión menor por utilización ilegítima de vehículo de motor; en Sentencia de la Audiencia Nacional núm. 29/1997, de 30 de mayo (sumario 6-1994 del Juzgado Central de Instrucción núm. 5), a veintiocho años de reclusión mayor por atentado con resultado de muerte, y cuatro años y dos meses de prisión menor por lesiones; en Sentencia de la Audiencia Nacional núm. 44/1996, de 25 de julio (sumario 23-1994 del Juzgado Central de Instrucción núm. 2), a la pena de veinte años de reclusión menor por el delito de atentado, veinte años de reclusión menor por asesinato frustrado y ocho años de prisión mayor por terrorismo; en Sentencia de la Audiencia Nacional núm. 25/1997, de 10 de julio (sumario 93-1994 del Juzgado Central de Instrucción núm. 4) a la pena de quince años de prisión por atentado en grado de tentativa, ocho años de prisión por tenencia ilícita de explosivos y doce años de prisión por pertenencia a banda armada; en Sentencia de la Audiencia Nacional núm. 2/1997, de 14 de enero (sumario 66-1994 del Juzgado Central de Instrucción núm. 4), a la pena de diez años de prisión mayor por robo con toma de rehenes, treinta años de reclusión mayor por atentado con asesinato y cinco años de prisión menor por lesiones.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Sentencia de la Audiencia Nacional Sala de lo Penal (Sección Tercera) núm. 34/1998, de 9 de septiembre (sumario núm. 25-1994 del Juzgado Central de Instrucción núm. 5), se le condenó a quince años de reclusión menor por depósito de armas, diez años de prisión mayor por tenencia de explosivos, diecinueve años de reclusión menor por conspiración para cometer tres asesinatos, cuarenta y ocho años de reclusión menor (veinticuatro más veinticuatro) por dos tentativas de asesinato, diez años de prisión mayor por utilización ilegítima de vehículo de motor en concurso con detención ilegal, ocho años de prisión mayor por utilización ilegítima de vehículo motor y cuatro años de prisión menor y multa de 1.000.000 de pesetas por falsificación de matrículas continuada. Esta Sentencia de la Audiencia Nacional núm. 34/1998 dio lugar a la ejecutoria núm. 81-1998.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ejecución de la Sentencia de la Audiencia Nacional núm. 34/1998, el 8 de agosto de 2007 el Ministerio Fiscal interesó la acumulación de las condenas impuestas por diversos delitos conexos, informando el 26 de junio de 2008 a favor de la acumulación de las condenas de las Sentencias de la Audiencia Nacional núms., 40/1996, 43/1996, 53/1996, 31/1997 y 6/1998.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23 de diciembre de 2008 la Sección Tercera de la Sala de lo Penal de la Audiencia Nacional dictó Auto que dispuso la acumulación de las condenas de las Sentencias de la Audiencia Nacional núms. 40/1996, 43/1996, 53/1996, 31/1997, 6/1998 y 34/1998, además de las Sentencias de la Audiencia Nacional núm. 45/1996 y 7/1997, con fijación del máximo de cumplimiento en cuarenta años (ex art. 76.1 del Código penal de 1995) y aplicando los beneficios penitenciarios sobre la totalidad de las penas impuestas, y no sobre el límite de cuarenta años (doctrina de STS 197/2006 recogida en art. 78 del Código penal de 1995). Este Auto fue notificado el 15 de enero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19 de enero de 2009 la actora interpuso recurso de súplica contra el Auto de 23 de diciembre de 2008, al estimar que infringía los derechos de los arts. 9.3, 14, 24.1, 25.1 y 2 CE y los arts. 71.2 y 100 del Código penal (CP) de 1973 y arts. 66 y 71.3 del Reglamento de servicios y prisiones de 1956 solicitando la aplicación del límite máximo de cumplimiento de treinta años (art. 71.2 CP 1973), y aplicando sobre este los beneficios y redenciones, al haberse cometido los hechos durante la vigencia del Código penal de 1973, sin que en ningún caso considerase aplicable la doctrina de STS núm. 197/2006.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Auto de 22 de enero de 2009 la Sección Tercera de la Sala de lo Penal de la Audiencia Nacional (notificado el 29 de enero de 2009) inadmitió el recurso al no resultar la resolución recurrible en súplica (arts. 236-237 de la Ley de enjuiciamiento criminal: LECrim), sino en casación en interés de la ley (art. 988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28 de enero de 2009 se anunció por la representación de la recurrente recurso de casación (art. 988 LECrim), por infracción de precepto constitucional (arts. 9.3, 14, 24.1, 25.1 y 2 CE) y legal (arts. 71.2 y 100 CP 1973 y arts. 66 y 71.3 del Reglamento de servicios y prisiones de 1956), contra el Auto de 23 de diciembre de 2008 (notificado en forma el 28 de enero de 2009). Mediante Auto de 3 de febrero de 2009 se tuvo por preparado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STS (Sala Segunda) núm. 815/2009, de 22 de julio, estimó el recurso de casación por vulneración del art. 24.1 CE (falta de contradicción y de motivación del Auto de 23 de diciembre de 2008) anulándolo y ordenando la retroacción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31 de julio de 2009 se recibió en la Sección Tercera de la Sala de lo Penal de la Audiencia Nacional (ejecutoria núm. 81-1998 de la Sentencia de la Audiencia Nacional 34-1998) hoja de cálculo de penas y límite de cumplimiento de doña María Lourdes Churruca Medinabeitia (53.016 días, sin redención alguna) remitida por el centro penitenciario de Huelva.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informe de 10 de septiembre de 2009 el Ministerio Fiscal interesó la liquidación y fijación del límite máximo de cumplimiento en treinta años, con aplicación de la doctrina de STS núm. 197/2006, para el 24 de diciembre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de 29 septiembre 2009 la actora solicitó la acumulación de condenas y fijación de límite máximo en treinta años (ex art. 70 regla 2, CP 1973), al que aplicar los beneficios y redenciones, respecto de las Sentencias de la Sección Segunda de Sala de lo Penal de la Audiencia Nacional núms. 40/1996 (sumario 24-1994 del Juzgado Central de Instrucción núm. 2); 43/1996 (sumario 30-1995 del Juzgado Central de Instrucción núm. 5); 44/1996 (sumario 23-1994 del Juzgado Central de Instrucción núm. 2); 45/1996 (sumario 22-1994 del Juzgado Central de Instrucción núm. 2); 45/1996 (sumario 22-1994 del Juzgado Central de Instrucción núm. 5); 29/1997 (sumario 6-1994 del Juzgado Central de Instrucción núm. 5) y 6/98 (sumario 26-1993 del Juzgado Central de Instrucción núm. 5); y respecto de las Sentencias de la Sección Tercera de la Sala de lo Penal de la Audiencia Nacional núms. 2/1997 (sumario 66-1994 del Juzgado Central de Instrucción núm. 4); 7/1997 (sumario 20-1989 del Juzgado Central de Instrucción núm. 4); 25/97 (sumario 93-1994 del Juzgado Central de Instrucción núm. 4); 31/1997 (sumario 44-1994 del Juzgado Central de Instrucción núm. 4) y 34/1998 (sumario 25-1994 del Juzgado Central de Instrucción núm. 5). La recurrente argumentó que los hechos se habían cometido por su pertenencia a ETA desde 1985, con anterioridad a la entrada en vigor del Código penal de 1995, resultando aplicable el Código penal de 1973, y debiéndose computar los beneficios y redenciones sobre dichos treinta años de máximo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informe de 15 octubre 2009 el Ministerio Fiscal no se opuso a la refundición solicitada, siempre que se mantuviere el límite máximo de cumplimiento en treinta años y la fecha del 24 diciembre 2024 como la de extinción.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Auto del 26 octubre 2009 la Sección Tercera de la Sala de lo Penal de la Audiencia Nacional procedió a acumular las condenas impuestas en las Sentencias de la Audiencia Nacional núms. 40/1996 (sumario 24-1994 del Juzgado Central de instrucción nº 5); 43/1996 (sumario 30-1995, del Juzgado Central de instrucción núm. 5); 44/1996 (sumario 23-1994, del Juzgado Central de instrucción núm. 2); 45/1996 (sumario 22-1994, del Juzgado Central de instrucción núm. 5); 53/1996 (sumario 22-1994 del Juzgado Central de instrucción núm. 2); 2/1997 (sumario 66-1994, del Juzgado Central de instrucción núm. 4); 7/1997 (sumario 20-1989 del Juzgado Central de instrucción núm. 4); 25/1997 (sumario 93-1994 del Juzgado Central de instrucción núm. 4); 29/1997 (sumario 6-1994, del Juzgado Central de instrucción núm. 5); 31/1997 (sumario 44-1994 del Juzgado Central de instrucción núm. 4); 6/1998 (sumario 26-1993 del Juzgado Central de instrucción núm. 5); y 34/1998 (sumario 25-1994 del Juzgado Central de instrucción núm. 5), fijando el máximo de cumplimiento en treinta años, pero con liquidación conforme al criterio de STS 197/2006.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3 noviembre 2009 la representación de la recurrente interpuso recurso de casación por infracción de precepto constitucional (arts. 14, 24.1 y 2 y 25.1 y 2 CE) y de ley (arts. 70.2 y 100 CP de 1973 y arts. 66 y 71.3 del Reglamento de servicios y prisiones de 1956), contra el Auto 26 octubre 2009 de la Sección Tercera de la Sala de lo Penal de la Audiencia Nacional, el cual se tuvo por preparado en Auto de 18 de noviembre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Auto de 17 de junio de 2010 (notificado el 1 de julio de 2010) la Sala Segunda del Tribunal Supremo inadmitió el recurso de casación por: primero, no existir vulneración del principio de legalidad e irretroactividad de las disposiciones menos favorables, en cuanto que este no resulta aplicable a la jurisprudencia, habiéndose aplicado un criterio interpretativo de precepto legal aplicable al momento de la acumulación; segundo, no concurrir lesión del derecho a la tutela judicial efectiva (en vertiente de intangibilidad del fallo) ni el derecho a la libertad personal ni la igualdad de la aplicación de la ley, ya que no se produjo anterior acumulación de condenas, existiendo disparidad de situaciones fácticas y jurídicas entre penados; y tercero, tampoco se quebranta la finalidad educativa de la pena, al no ser ésta la exclusiva función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del 16 de julio de 2010 la actora solicitó la nulidad de actuaciones del Auto del Tribunal Supremo (Sala Segunda) de 17 de junio de 2010, por vulneración del principio de legalidad e irretroactividad penal (art. 25.1 y 2 CE); del derecho a la tutela judicial efectiva, en vertiente de intangibilidad (art. 24.1 CE); del derecho a la libertad personal (art. 17 CE); y del derecho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providencia de la Sala Segunda del Tribunal Supremo de 24 de septiembre de 2010 (notificada el 27 de septiembre de 2010) se inadmitió dicho incidente, por limitarse a reproducir las alegaciones del recurso de casación, a los efectos de discrepar, sin justificar la efectiva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escrito de 7 de febrero de 2011 la representación de la recurrente solicitó de la Sección Tercera de la Sala de lo Penal de la Audiencia Nacional que efectuase nueva liquidación de condena para computarle el tiempo de prisión preventiva transcurrido simultáneamente en diversas causas desde la firmeza de la Sentencia de la Audiencia Nacional núm. 40/1996, de 26 de junio, a la firmeza de la Sentencia de la Audiencia Nacional núm. 34/1998, de 9 de septiembre, con arreglo al criterio de la STC 57/2008.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tras alegar el cumplimiento de los requisitos formales, justifica la trascendencia constitucional en la novedad y necesidad de un pronunciamiento sobre la doctrina de la STS (Sala Segunda) núm. 197/2006, de 28 febrero (“doctrina Parot”), la cual, contra un inveterado criterio jurisprudencial, computa la redención de penas por el trabajo, no sobre la pena acumulada, sino sobre cada una de las impuestas, haciendo desaparecer las redenciones y beneficios ya firmes, afectándose así la tutela judicial, el principio de legalidad, la seguridad jurídica y la libertad personal de más de setenta y cinco presos de ETA, condenados a más de treinta años de prisión, y cuyo licenciamiento se ha visto pospuesto desde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considera vulnerado el derecho al proceso con las debidas garantías y a la tutela judicial efectiva (arts. 24.2 y 1 CE) por la inadmisión del recurso de casación y del incidente de nulidad de actuaciones. Dicha inadmisión se reputa lesiva del derecho al recurso frente a una resolución, impidiendo un examen de fondo de la cuestión sobre la aplicación de un criterio de la STS 197/2006 a un caso distinto, como si se tratase de la ejecución de la primera sentencia; lo cual —dice— va en contra del art. 14.5 del Pacto internacional de derechos civiles y políticos (revisión de condena penal), sin perjuicio del recurso ante el Tribunal Constitucional (de carácter muy restrictivo).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considera vulnerado el principio de legalidad e irretroactividad penal (art. 25.1 y 2 CE) en cuanto que al computar los beneficios y redenciones penitenciarios sobre cada una de las penas impuestas de forma sucesiva, se está privando de virtualidad a la pena acumulada de treinta años, y en definitiva a las redenciones obtenidas. La aplicación del criterio de la STS 197/2006 constituye una exégesis contraria a las “pautas axiológicas” constitucionales de interpretación de los arts. 73 regla 2 y 100 del CP de 1973 (también de los arts. 66 y 71.3 del Reglamento de servicios y prisiones de 1956) y al criterio jurisprudencial después de quince años, eliminando el beneficio de la redención de penas por trabajo, que se debía aplicar sobre la condena efectiva de treinta años. El legislador había distinguido entre condena y tiempo efectivo de internamiento en los arts. 70.2, y 100 CP y en el art. 202 del Reglamento penitenciario. La STC 57/2008 señaló que ante la ausencia de normas no cabía nunca una interpretación en contra del reo. El Código penal de 1973 estableció la extinción de las penas superiores a treinta años, aplicando a estas los beneficios y redenciones, por lo que, en consecuencia, la aplicación por las resoluciones recurridas (STS 197/2006) de los beneficios de forma sucesiva a todas las penas impuestas resulta una aplicación retroactiva del art. 78 CP 1995. En definitiva se niega la efectividad de la redención de penas por trabajo (art. 100 CP 1973) privándola del carácter de cumplimiento de pena de prisión, imponiéndose al recurrente el cumplimiento del límite máximo de treinta años, más las redenciones ordinarias y extraordinarias (con lo que se excedería del límite de “tiempo de cumplimiento” efectivo). A mayor abundamiento, constituyó una práctica judicial el abono del trabajo y otras redenciones sobre la pena liquidada o acumulada en el momento de determinar el Código penal aplicable (año 1995), por lo que la posterior interpretación priva del derecho a la intangibilidad y efectividad de dichas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concurriría, según alega la recurrente, una vulneración del derecho a la tutela judicial efectiva, en la vertiente de intangibilidad de las resoluciones judiciales firmes (art. 24.1 CE), afectándose la seguridad jurídica, la legalidad y el derecho a la libertad (art. 17 CE) puesto que la resoluciones de los Juzgados de vigilancia penitenciaria aprobando redenciones (firmes e intangibles) habrían reducido la condena de treinta años, y la recurrente habría actuado en la confianza legítima de dicho acortamiento de la condena. Sin embargo, esta ulterior interpretación ha privado de los derechos adquiridos por liquidaciones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se habría vulnerado, continua alegando la recurrente, el principio de legalidad penal por la aplicación retroactiva de la ley penal más desfavorable (art. 25.1 CE en relación con el art. 9.3 CE), al llevarse a cabo una aplicación retroactiva del art. 78 CP 1995 a hechos cometidos durante la vigencia del Código penal de 1973, cuyo régimen resultaba más beneficioso, a tenor de la posibilidad de reducción de condena mediante la redención de penas por trabajo. La no retroactividad respecto de redenciones ya fue proclamada en la exposición de motivos de la Ley Orgánica 7/2003, de 30 de junio, de reformas para el cumplimiento íntegro y efectivo de las penas (como recuerda el fundamento jurídico 5 del Voto particular a la STS 197/2006), de manera que su elusión y aplicación retroactiva del art. 78 CP 1995 lesionan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lugar se alega la vulneración del principio de igualdad en la aplicación de la ley (art. 14 CE). Con cita de las SSTC 144/1988 y 193/2001 (FJ 3) apunta cómo la STS 197/2006 se desmarcó injustificadamente de la línea jurisprudencial de las SSTS (Sala Segunda) 1985/1992, 506/1994, 529/1994, 1109/1997, 1458/2002, 1778/2002, 699/2003 y 1223/2005 y los Plenos no jurisdiccionales de 18 de julio de 1996 y 12 de febrero de 1999. Esta falta de fundamento se denunció igualmente en el Voto particular de la STS 197/2006. Se produjo un cambio inopinado e ilógico del criterio jurisprudencial sobre la redención de penas, de extensión a cada vez menos presos, evidenciándose el carácter ad personam del cambio, discriminando a quienes no se van a beneficiar con la nueva interpretación, respecto de quienes sí lo hicieron con anterioridad. Con ello se produce una reescritura jurisprudencial del art. 70.2 CP 1973. En concreto, alega el recurrente —reconociendo que no aporta las resoluciones—, que un somero repaso a los licenciamientos efectuados durante años por las Secciones Segunda y Tercera de la Audiencia Nacional permite apreciar lo inmotivado del cambio.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sexto lugar se invoca la vulneración del derecho a la libertad personal (art. 17.1 CE), en cuanto que la aplicación de los beneficios penitenciarios afecta dicho derecho (SSTC 31/1999 y 76/2004). La recurrente se ha visto privada de la libertad y por ende de su expectativa a la misma. Si se ha producido la vulneración del derecho a la tutela judicial efectiva, concomitantemente se habrá producido la de la libertad personal, ya que la progresión o regresión en la duración de la pena ya no dependen del comportamiento del preso. La nueva interpretación de la STS 197/2006 no tiene amparo legal, ya que desagrega las penas refundidas ignorando que el tiempo redimido es tiempo de pena efectivamente cumplido (como se acreditan los numerosísimos condenados que han liquidado sus penas conforme al Código penal de 1973, antes de alcanzar el máximo de treinta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vulnerado el principio de reeducación y reinserción social de las penas privativas de libertad (art. 25.2 CE). El principio inspirador de la redención es que la pena refundida constituye una nueva unidad de ejecución que tiene como finalidad evitar las condenas prolongadas y estimular la reeducación y reinserción (SSTS 1985/1992 y 689/2004) a la que se ha aplicar el trabajo como medio encaminado a la reinserción. No hacerlo así es imponer una condena excesivamente gravosa, un ensañamiento y trato inhumano y cruel, y supone una desincentivación para la reinserción y la resocialización.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demanda solicitando el otorgamiento del amparo y la puesta inmediata en libertad de la recurrente por haber cumplido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14 de abril de 2011 la Sala Segunda del Tribunal Constitucional admitió a trámite el recurso de amparo recabando las actuaciones, con emplazamiento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diligencia de ordenación de la Secretaria de Justicia de la Sala Segunda del Tribunal Constitucional, de 14 de julio de 2011, se acordó dar traslado a la recurrente y al Ministerio Fiscal por término de veinte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presentado el 8 de septiembre de 2011 la representación de la actora se ratifica en su escrito de demanda, introduciendo alegaciones sobre la vulneración del proceso con todas las garantías (art. 24.2 CE), en su vertiente de exigencia del principio acusatorio, al considerar que el proceso de ejecutoria se desarrolló sin contradicción (con cita de la STC 11/1987 sobre refundición de condena sin audiencia de la ejecutada), viéndose privada de un recurso efectivo frente al Auto de 26 de octubre de 2009 de la Sección Tercera, Sala de lo Penal, de la Audiencia Nacional y frente al Auto del Tribunal Supremo (Sala Segunda) de 17 de junio de 2010, generándosele con todo ello indefensión. La primera oportunidad que ha tenido la recurrente de ser oída fue en casación, pero ésta fue inadmitida, lo que se traduce en una falta de audiencia y contradicción del procedimiento y en la inexistencia de una segunda instancia (dado lo limitado del recurso de amparo). La STS 197/2006 se dictó para un recurrente (Henry Parot) distinto del actual, sin que la actora tuviere en aquel procedimiento intervención, y ello sin perjuicio de que la referida STS 197/2006 se encuentre también impugnada. Reitera (con cita de la STC 57/2008) que se habría lesionado el principio de legalidad, especialmente respecto del art. 202.1 del Reglamento penitenciario, que aplica los beneficios penitenciarios indistintamente a la condena en sentencia o al tiempo efectivo de internamiento, y respecto de los arts. 66 y 71.3 del Reglamento de servicios y prisiones. Agrega que la pena liquidada (con los beneficios y redenciones) sigue siendo de 10.950 días, por lo que se ha defraudado a la recurrente quien trabajó y estudió, e incluso obtuvo la aprobación de la redenciones por el Juzgado de Vigilancia Penitenciaria, en la creencia legítima de que cumpliría menos, lesionándose además la intangibilidad de las resoluciones judiciales (SSTC 174/1989 y 76/2004).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20 de septiembre de 2011 el Fiscal ante el Tribunal Constitucional interesa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fácticos y jurídicos del caso, descarta la lesión del art. 25.2 CE (principio reeducación y de reinserción), en cuanto que éste no es un derecho fundamental invocable en amparo sino un principio inspirador de la legislación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interesa la desestimación de la vulneración de la tutela judicial efectiva y al proceso con todas las garantías (art. 24.2 CE) por la falta de audiencia en la promoción de la refundición de condenas en la ejecutoria, ya que la indefensión no ha sido efectiva, al haber dispuesto de la posibilidad de alegación y contradicción al interponer el recurso de casación, y ulteriormente mediante el presente amparo; del mismo modo no se ha vulnerado el derecho al recurso efectivo, en cuanto que se pudo interponer recurso de casación en cuya inadmisión se fue respondiendo a todos y cada uno de los motivos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no resulta de recibo para el Fiscal la invocación de la tutela judicial efectiva junto a la irretroactividad de las normas penales desfavorables (art. 25.1 CE), por entender que se ha aplicado el art. 78 CP 1995, ya que —más allá de la convicción subjetiva del recurrente— efectivamente el precepto aplicado ha sido el art. 70, regla 2, CP de 1973, sin que pueda hablarse de una analogía in malam partem, al tratarse de una interpretación del precepto legal dada por el Pleno de la Sala Segunda del Tribunal Supremo dentro del tenor y de la lógica de la norma (sin que corresponda al Tribunal Constitucional decantar la interpretación más adecuada de la legalidad ordinaria), además, el principio de irretroactividad de la ley penal desfavorable recae sobre la ley y no sobre la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concurre la vulneración del principio de igualdad en la aplicación de la ley (art. 14 CE), primero porque los órganos judiciales que dictan la resoluciones son distintos, sin que se aporte resolución de contraste de la Sección Tercera de la Sala de lo Penal de la Audiencia Nacional; y, en segundo lugar, porque el apartamiento de la jurisprudencia anterior se ha hecho de forma razonada.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estima el Ministerio público que no concurre vulneración del derecho a la tutela judicial efectiva (art. 24.1 CE), en su vertiente de intangibilidad de las resoluciones judiciales firmes, en relación con el derecho a la libertad personal (art. 17.1 CE). Al margen de vicisitudes procesales, la refundición se inició a instancia de la recurrente y la Sala de lo Penal de la Audiencia Nacional apreció la conexidad y procedió a la acumulación —por primera y única vez— en el Auto de 26 de octubre de 2009. Aunque las condenas acumuladas fueren anteriores a la STS 197/2006 y no obstante afirmarse en STC 174/1989 la firmeza y preclusividad de las resoluciones de los Jueces de vigilancia penitenciaria sobre redención de penas por el trabajo consolidándose los días ya redimidos (a salvo del cambio de criterio o de errores materiales), no se ha lesionado la intangibilidad de las resoluciones judiciales, porque no existió ninguna resolución judicial anterior sobre la acumulación de condenas (sino cálculos de las autoridades penitenciarias), sin que pueda hablarse de expectativa cierta de fecha de excarcelación.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enero de 2012, el Pleno, de conformidad con lo establecido en el art. 10.1 n) de la Ley Orgánica del Tribunal Constitucional y a propuesta de la Sala Segunda,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26 de marzo de 2012 se señaló para la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decidir si el Auto de 26 octubre de 2009 de la Sección Tercera de la Sala de lo Penal de la Audiencia Nacional (ejecutoria núm. 81-1998, rollo núm. 110-1994, del sumario núm. 25-1994 del Juzgado Central de Instrucción núm. 5) de acumulación de doce condenas impuestas por distintos delitos relacionados con el terrorismo, con fijación del límite máximo de treinta años de privación de libertad [art. 70 regla segunda del Código penal (CP) de 1973], al aplicar el criterio de STS (Sala Segunda) núm. 197/2006 (cómputo de los beneficios y redenciones penitenciarias sobre cada una de las penas, y no sobre la resultante de la acumulación), ha lesionado los derechos fundamentales de la recurrente a la igualdad (art. 14 CE); al proceso con las debidas garantías (art. 24.2 CE); al principio de legalidad penal y seguridad jurídica (art. 25.1 CE); al principio de orientación de las penas hacia la reeducación y reinserción (art. 25.2 CE); y a la tutela judicial efectiva, en vertiente de intangibilidad de la resoluciones judiciales firmes y derecho a la defensa (art. 24.1 CE) relacionado con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es de señalar que, tras el agotamiento de la vía judicial ordinaria contra el Auto de la Sección Tercera de la Sala de lo Penal de la Audiencia Nacional recurrido, mediante la inadmisión del incidente de nulidad de actuaciones por la Sala Segunda del Tribunal Supremo (providencia del 24 de septiembre de 2010), y tras la interposición del presente recurso de amparo en escrito de 4 noviembre del mismo año 2010, la recurrente ha procedido a solicitar de la Sección Tercera de la Audiencia Nacional (7 de febrero de 2011) nueva liquidación, en la que “se le abone el tiempo de prisión provisional pasado en las diversas causas”. Esta contingencia, pese a que podría ser entendida como una demostración del carácter eventual de la impugnación efectuada en este amparo (o de la falta de agotamiento de la vía judicial previa), no debe constituir un óbice al presente y actual pronunciamiento, en cuanto que las vulneraciones ya denunciadas afectan directamente al derecho a la libertad personal del art. 17.1 CE (por todas STC 171/2009, de 9 de julio, FJ.2). Además, el thema decidendi del cómputo de las redenciones y beneficios penitenciarios sobre la pena acumulada reviste sustantividad constitucional propia y entidad y relevancia como para ser resuelto autónomamente de otras cuestiones, como el ulterior abono de la prisión preventiva, que seguirán su cauce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la vulneración de los derechos fundamentales a la tutela judicial efectiva (art. 24.1 CE), a un proceso con todas las garantías (art. 24.2 CE), a la legalidad de las infracciones y sanciones (art. 25.1 y 2 CE), a la libertad personal (art. 17.1 CE) y a la igualdad en la aplicación de la ley (art. 14 CE), con los argumentos que han sido expuestos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interesa la desestimación del recurso por las razones reseñadas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primera de las quejas articuladas en la demanda, bajo la invocación de los derechos a la tutela judicial efectiva (art. 24.1 CE) y a un proceso con todas las garantías (art. 24.2 CE), se denuncia sustancialmente la indefensión generada por el hecho de que la primera de las resoluciones recurridas se adoptó sin abrir un trámite de audiencia al condenado, pese a introducir una perspectiva jurídica novedosa en el cómputo de las redenciones de penas por el trabajo que empeoraba la situación del reo. Esta queja ha de ser inadmitida, al concurrir respecto de ella el óbice procesal de falta de invocación ante los órganos de la jurisdicción ordinaria [art. 44.1 c) de la Ley Orgánica del Tribunal Constitucional]. En efecto, de la mera lectura del recurso de casación interpuesto contra el Auto de 26 de octubre de 2009 de la Sección Tercera de la Sala de lo Penal de la Audiencia Nacional se desprende que el recurrente articuló una serie de motivos de recurso para oponerse a esa nueva perspectiva jurídica en el cómputo de las redenciones (lo que excluiría según el Ministerio Fiscal la indefensión denunciada), pero no denunció entonces indefensión alguna, trayéndose ahora per saltum en amparo. Hemos de 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interposición del recurso de amparo constitucional, ha de darse oportunidad a los órganos jurisdiccionales ordinarios de reparar la vulneración supuestamente cometida a través de la inserción en el proceso judicial del problema constitucional objeto del recurso de amparo (por todas, entre las más recientes SSTC 132/2006, de 24 de abril, FJ 3; y 7/2007, de 15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los restantes motivos se denuncia —como ya anticipamos— desde diversas perspectivas constitucionales la cuestión de fondo, esto es, la aplicación al presente caso de un nuevo criterio jurisprudencial en la interpretación de los arts. 70.2 y 100 CP 1973, y concordantes del reglamento penitenciario, en relación con el cómputo de la redención de penas por trabajo. Frente al criterio anteriormente aplicado, conforme al cual los días redimidos por trabajo se descontaban del límite máximo de cumplimiento una vez operada la refundición o acumulación de condenas, el Tribunal Supremo, en la Sentencia 197/2006, de 28 de febrero, estableció que el beneficio de la redención de penas por el trabajo consagrado en el art. 100 CP 1973 ha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cuarto). Un cambio de doctrina cuya aplicación al presente caso por la Audiencia Nacional implica que, si bien conforme al cómputo de las redenciones de penas por trabajo usado hasta ese momento el recurrente vería que las reducciones correspondientes al trabajo de los catorce años que van desde que entró en prisión preventiva hasta el Auto de 26 de octubre de 2009 se aplicarían al límite máximo de treinta años, en aplicación del nuevo criterio se restarían de la suma total de las penas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entiende que de ello se deriva la vulneración del principio de igualdad en la aplicación de la ley (art.14 CE); del principio de legalidad penal (art. 25.1 CE) —desde la doble perspectiva de la ilegitimidad del nuevo criterio interpretativo y la aplicación retroactiva de una ley desfavorable—; del derecho a la libertad (art. 17.1 CE); y del derecho a la tutela judicial efectiva (art. 24.1 CE), en relación con el derecho a la libertad. A la vista de lo cual, hemos de comenzar precisando cuáles son los derechos fundamentales en juego y cuál ha de ser nuestro parámetro de enjuiciamiento en esta materia. No obstante, con carácter previo, conviene aclarar que no es objeto del presente recurso de amparo la Sentencia 197/2006, de 28 de febrero, dictada por la Sala Segunda del Tribunal Supremo, sino que nuestro examen se ha de limitar a la consideración de la respuesta judicial que para el caso concreto se contiene en las resoluciones recurridas, en las que se acuerda la aplicación del criterio de cómputo de las redenciones establecido con carácter previo por la citada STS 197/2006.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primer lugar, ha de tenerse en cuenta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cuestionándose el cómputo de la redención de penas por el trabajo, sin que de la interpretación sometida a nuestro enjuiciamiento se derive ni el cumplimiento de una pena mayor que la prevista en los tipos penales aplicados, ni la superación del máximo de cumplimiento legalmente previsto. En esa misma línea el Tribunal Europeo de Derechos Humanos también viene afirmando que las cuestiones relativas a la ejecución de la pena y no a la propia pena, en la medida en que no impliquen que la pena impuesta sea más grave que la prevista por la ley, no conciernen al derecho a la legalidad penal consagrado en el art. 7.1 del Convenio, aunque sí pueden afectar al derecho a la libertad. En este sentido se pronuncia la STEDH de 10 de julio de 2003, Grava c. Italia, § 51, en un supuesto referido a la condonación de la pena citando, mutatis mutandis, Hogben contra Reino Unido, núm. 11653/1985, decisión de la Comisión de 3 marzo 1986, Decisiones e informes [DR] 46, págs. 231, 242, en materia de libertad condicional. Y más recientemente la STEDH de 15 de diciembre de 2009,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 rechazarse la denunciada vulneración del derecho a la legalidad penal (art. 25.1 CE) por aplicación retroactiva del art. 78 CP 1995, tanto en su redacción inicial como en la dada al mismo por la Ley Orgánica 7/2003, precepto en el que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Y, en relación a supuestos de acumulación de varias penas especialmente graves se establece la obligatoriedad de realizar ese cómputo referido a la totalidad de las penas impuestas; preceptividad que, sin embargo, admite algunas excepciones (art. 78.2 y 3 del Código penal actual). Ni las resoluciones recurridas, ni la doctrina del Tribunal Supremo invocada en ellas aplican retroactivamente dicho precepto (que, por otra parte, no hace referencia a la redención de penas por trabajo, puesto que dicha redención desaparece en el Código penal de 1995), sino la normativa vigente en el momento de comisión de los 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 Por tanto, teniendo en cuenta el razonamiento de los órganos judiciales y los preceptos que se aplican, la queja carecería de base fáctica, pues la prohibición de retroactividad de la ley penal desfavorable consagrada en el art. 25.1 CE tiene como presupuesto fáctico la aplicación retroactiva de una norma penal a hechos cometidos previamente a su entrada en vigor (por todas, SSTC 21/1993, de 18 de enero, FJ 4; 43/1997, de 10 de marzo, FJ 5; 20/2003, de 20 de febrero, FJ 4; y 116/2007, de 21 de mayo,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cambios de criterio jurisprudencial y su conformidad con la Constitución han de ser analizados desde otras perspectivas, una de las cuales es, sin duda, la del principio de igualdad en la aplicación de la ley (art. 14 CE). Sin embargo, tampoco en el presente caso puede apreciarse una vulneración del derecho fundamental consagrado en el art. 14 CE. Dado que en el presente procedimiento no se impugna la Sentencia del Tribunal Supremo de 28 de febrero de 2006 no cabe entrar a examinar si ésta se ha apartado o no de sus precedentes vulnerando el art. 14 CE. Y por lo que respecta a las resoluciones impugnadas se limitan a aplicar la doctrina sentada en aquella Sentencia del Tribunal Supremo, máximo intérprete de la ley, justificando el cambio de criterio en el cómputo de las redenciones de penas por el trabajo, frente a otros supuestos resueltos con anterioridad, precisamente en la aplicación de esa doctrina del Tribunal Supremo.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Llegados a este punto, hemos de recordar que no es función de este Tribunal la interpretación de la legalidad ordinaria y, en lo que aquí interesa, que no nos corresponde pronunciarnos directamente sobre cómo interpretar y aplicar al caso el art. 70 en relación con el art. 100 CP 1973, y sobre cuál ha de ser el límite de cumplimiento y el modo de computar las redenciones, pues se trata de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a la actuación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examen nuestra jurisprudencia ha puesto de relieve que la redención de penas por el trabajo afecta directamente al derecho fundamental a la libertad consagrado en el art. 17.1 CE, ya que el periodo de privación de la misma depende, entre otros factores, de su aplicación conforme a lo establecido en el art. 100 CP 1973 (SSTC 174/1989, de 30 de octubre, FJ 4; 31/1999, de 8 de marzo, FJ 3; 186/2003, de 27 de octubre, FJ 6; y 76/2004, de 26 de abril, FJ 5). Un precepto según el cual “se abonará, para el cumplimiento de la pena impuesta, previa aprobación del Juez de Vigilancia, un día por cada dos de trabajo”, practicándose el abono periódicamente, a propuesta de los centros penitenciarios, por los Jueces de vigilancia penitenciaria, y siendo tenido en cuenta posteriormente por el Tribunal sentenciador a los efectos de la liquidación de condena (STC 174/1989, de 30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hemos afirmado que su reconocimiento está inspirado en el art. 25.2 CE y se conecta con la orientación reeducadora de la pena privativa de libertad (STC 72/1994, de 3 de marzo, FJ 4). Y si bien es cierto que el art. 25.2 CE no consagra ningún derecho fundamental susceptible de amparo, sí contiene un mandato dirigido al legislador para orientar la política penal y penitenciaria y un principio interpretativo de las normas relativas a la imposición y cumplimiento de las penas privativas de libertad, constitucionalmente consagrados (por todas, SSTC 88/1998, de 21 de abril, FJ 3; 204/1999, de 8 de noviembre, FJ 3; y 120/2000, de 10 de mayo, FJ 4; y ATC 279/2000, de 29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dado que el derecho reconocido en el art. 17.1 CE permite la privación de libertad sólo “en los casos y en las formas previstos por la Ley”, también hemos afirmado que no puede excluirse que se vulnere este derecho como consecuencia de la forma de ejecución de la condena en relación con el cómputo del tiempo de estancia en prisión, por inobservancia de las disposiciones legales respecto al cumplimiento sucesivo o en su caso refundido de las distintas condenas que pudiera reducir el tiempo de permanencia en prisión del condenado, en cuanto que suponga un alargamiento ilegítimo de dicha permanencia y, por ende, de la pérdida de libertad (SSTC 147/1988, de 14 de julio, FJ 2; y 130/1996, de 9 de julio, FJ 2). En esta línea, el Tribunal Europeo de Derechos Humanos ha afirmado también que se produjo la vulneración del derecho a la libertad, consagrado en el art. 5 del Convenio, en un supuesto en el que se constató el cumplimiento de una pena de prisión más larga de la “que debería haberle sido impuesta de acuerdo con el sistema jurídico nacional y teniendo en cuenta los beneficios a los que tenía derecho. El exceso del tiempo pasado en prisión no podría, por tanto, considerarse como una privación legal de acuerdo con el Convenio” (STEDH de 10 de julio de 2003, Grava c. Italia, § 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nuestro examen se limitará a analizar si la respuesta judicial obtenida por el recurrente en las resoluciones de la Audiencia Nacional que se impugnan en el presente procedimiento de amparo vulneró su derecho a la tutela judicial efectiva (art. 24.1 CE) y como consecuencia de ello su derecho a la libertad (art. 17.1 CE), lo que —según se argumenta en los motivos de amparo tercero y sexto, fundamentalmente— habría sucedido al aplicar un nuevo criterio de cómputo de la redención de penas por el trabajo que ignora la existencia de una legítima expectativa, fundada en la previa actuación de la administración penitenciaria y en resoluciones judiciales firmes e intangibles, de que las reducciones correspondientes al trabajo de los catorce años que van desde que entró en prisión preventiva hasta el Auto de 6 de mayo de 2009 se aplicarían al límite máximo de treinta años y no a la suma total de las penas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Constituye reiterada doctrina de este Tribunal que el principio de seguridad jurídica consagrado en el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pues la protección judicial carecería de efectividad si se permitiera reabrir el debate sobre lo ya resuelto por una resolución judicial firme en cualquier circunstancia. Un efecto que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el efecto mencionado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derecho a la intangibilidad de las resoluciones judiciales firmes consagrado en el art. 24.1 CE como una de las vertientes del derecho a la tutela judicial efectiva no se circunscribe a los supuestos en que sea posible apreciar las identidades propias de la cosa juzgada formal, ni puede identificarse con este concepto jurídico procesal, sino que su alcance es mucho más amplio y se proyecta sobre todas aquellas cuestiones respecto de las que pueda afirmarse que una resolución judicial firme ha resuelto, conformado la realidad jurídica en un cierto sentido, realidad que no puede ser ignorada o contradicha ni por el propio órgano judicial, ni por otros órganos judiciales en procesos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respuesta a la anterior cuestión ha de ser negativa pues, como veremos, el análisis del extracto de la primera sentencia condenatoria alegado por el recurrente y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constatados con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nos interesa para analizar la queja, son datos relevantes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integrante de los comandos Eibar (1988-1989) y Vizcaya (1993-1994) de ETA, resultó ejecutoriamente condenada a dieciocho años de reclusión menor por tentativa de atentado terrorista; a veinte años de reclusión menor por atentado terrorista frustrado; a cinco años de prisión menor por terrorismo (tentativa); a ocho años de prisión mayor por terrorismo (frustrado); a doce años de prisión mayor por terrorismo, treinta años de reclusión mayor por asesinato terrorista y ocho años de prisión mayor por tenencia de explosivos; a treinta años de prisión menor por atentado, cuatro años de prisión menor por robo de vehículo, cuatro años de prisión menor y multa de 400.000 pesetas por falsificación de placas de matrícula; a cinco años de prisión menor por falsificación de placa de matrícula; treinta años de reclusión mayor por atentado con asesinato, seis años de prisión menor por utilización ilegítima de vehículo de motor; a veintiocho años de reclusión mayor por atentado con resultado de muerte, y cuatro años y dos meses de prisión menor por lesiones; a la pena de veinte años de reclusión menor por el delito de atentado, veinte años de reclusión menor por asesinato frustrado y ocho años de prisión mayor por terrorismo; a la pena de quince años de prisión por atentado en grado de tentativa, ocho años de prisión por tenencia ilícita de explosivos y doce años de prisión por pertenencia a banda armada; a la pena de diez años de prisión mayor por robo con toma de rehenes, treinta años de reclusión mayor por atentado con asesinato y cinco años de prisión menor por lesiones, a quince años de reclusión menor por depósito de armas, diez años de prisión mayor por tenencia de explosivos, diecinueve años de reclusión menor por conspiración para cometer tres asesinatos, cuarenta y ocho años de reclusión menor (veinticuatro más veinticuatro) por dos tentativas de asesinato, diez años de prisión mayor por utilización ilegítima de vehículo de motor en concurso con detención ilegal, ocho años de prisión mayor por utilización ilegítima de vehículo motor y cuatro años de prisión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Puesto que había sido condenada en sendos procesos por hechos que pudieron ser objeto de uno sólo, el Tribunal sentenciador, tras diversos avatares procesales, por Auto de 26 de octubre de 2009, procedió a fijar en treinta años el límite máximo de cumplimiento de las condenas, de conformidad con lo dispuesto en los arts. 17.5 y 988 de la Ley de enjuiciamiento criminal y el art. 70, regla 2, CP 1973, pero con liquidación conforme al criterio sentado en la STS 197/2006.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ninguna de las resoluciones judiciales a las que se refiere el recurrente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las resoluciones del Juzgado de Vigilancia Penitenciaria en las que se reconoció al penado determinados días de redención de pena por el trabajo u otras actividades realizadas,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ignoren, o pongan en cuestión la firmeza e intangibilidad de lo decidido en los Autos del Juzgado de Vigilancia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de 26 de octubre de 2009 que acordó la acumulación de las penas impuestas por ambas Sentencias y que se cumplieran conforme al criterio de cómputo fijado por la STS 197/2006 (y las resoluciones judiciales que lo ratificaron) no dejó sin efecto dichas redenciones sino que, en ejercicio de las competencias que legalmente tiene atribuidas, las computó sucesivamente sobre el conjunto de penas impuestas a efectos de liquidación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cabe concluir que, en el presente caso, ni existe vulneración del derecho a la tutela judicial efectiva en su vertiente de intangibilidad de las resoluciones judiciales firmes (art. 24.1 CE) ni, tampoco por esta causa, vulneración del derecho a la libertad personal (art. 17.1 CE).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misma suerte desestimatoria debe seguir la queja plasmada en el último motivo de amparo de la demanda, según la cual el nuevo criterio de cómputo de las redenciones que le ha sido aplicado deja sin efecto práctico las redenciones y la libertad condicional, lo cual vulneraría el art. 25.2 CE en cuanto prevé que las penas privativas de libertad y las medidas de seguridad estarán orientadas hacia la reeducación y reinserción social, por cuanto “niega el carácter incentivador y reinsertador de las redenciones al no tener ninguna plasmación como beneficio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acierto destaca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y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doña María Lourdes Churruca Madinabeitia.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amparo núm. 7861-2010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10718-2006.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