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11643-2006, promovido por don Pedro María Rezabal Zurutuza, representado por el Procurador de los Tribunales don José Javier Cuevas Rivas y bajo la dirección de la Letrada doña Ainoa Baglietto Gabilondo, contra el Auto de la Sección Primera de la Sala de lo Penal de la Audiencia Nacional de 20 de noviembre de 2006, dictado en la ejecutoria núm. 8-1989, por el que se desestima el recurso de súplica interpuesto contra la providencia de 5 de octubre de 2006, en la que se acuerda fijar fecha sobre licenciamiento definitivo. Ha intervenido el Ministerio Fiscal. Ha sido Ponente el Magistrado don Pablo Pérez Tremps, quien expresa el parecer del Tribunal.</w:t>
      </w:r>
    </w:p>
    <w:p w:rsidRPr="00531C1B" w:rsidR="00F31FAF" w:rsidRDefault="00356547">
      <w:pPr>
        <w:rPr/>
      </w:pPr>
      <w:r w:rsidRPr="&lt;w:rPr xmlns:w=&quot;http://schemas.openxmlformats.org/wordprocessingml/2006/main&quot;&gt;&lt;w:szCs w:val=&quot;24&quot; /&gt;&lt;/w:rPr&gt;">
        <w:rPr/>
        <w:t xml:space="preserve"/>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28 de diciembre de 2006, el Procurador de los Tribunales don José Javier Cuevas Rivas, en nombre y representación de don Pedro María Rezabal Zurutuza, y bajo la dirección de la Letrada doña Ainoa Baglietto Gabilondo, interpuso recurso de amparo contra las resoluciones judiciales que se citan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condenado en las siguientes causas: En el sumario núm. 24-1985, procedente del Juzgado Central de Instrucción núm. 4, a sendas penas de veintiún años de reclusión mayor por cinco delitos de asesinato en grado de frustración, veintitrés años de reclusión mayor por un delito de atentado, tres años de prisión menor por un delito de detención ilegal y cinco años de prisión menor por un delito de utilización ilegítima de vehículo de motor ajeno. En el sumario núm. 24-1987, procedente del Juzgado Central de Instrucción núm. 4, a la pena de siete años de prisión mayor por un delito de estragos. En el sumario núm. 40-1987, procedente del Juzgado Central de Instrucción núm. 5, a las penas de siete años de prisión mayor por un delito de pertenencia a banda armada, seis años y un día de prisión menor por un delito de depósito de armas de guerra, seis años y un día de prisión menor por un delito de tenencia de explosivos, seis años y un día de prisión menor por un delito de estragos y dos años de prisión menor por un delito de estragos en grado de frustración. Y, por último, en el sumario 16-1986, procedente del Juzgado Central de Instrucción núm. 5, a la pena de diecinueve años de reclusión menor como cómplice de un delito de asesinato.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Segunda de la Sala de lo Penal de la Audiencia Nacional, mediante Auto de 29 de junio de 2001, dictado en la ejecutoria núm. 8-1989, acordó, de conformidad con los arts. 988 de la Ley de enjuiciamiento criminal y 70.2  del Código penal (CP), refundir las diversas condenas impuestas al recurrente y fijar en un máximo de treinta años el periodo de privación de libertad a cumplir. En virtud de ello, el centro penitenciario en que cumplía su pena el recurrente realizó un cómputo de liquidación de pena con fecha 9 de febrero de 2006, teniendo en cuenta las diversas redenciones, fijando el cumplimiento definitivo para el 30 de diciembre de 2006. El centro penitenciario mediante oficio de 31 de agosto de 2006 remitido a la Sección Segunda de la Sala de lo Penal de la Audiencia Nacional realizó dos diferentes propuestas de licenciamiento definitivo del recurrente, una aplicando la redención sobre los treinta años de condenas acumuladas y otra sobre el total de las condenas impuestas. El Ministerio Fiscal informó que, conforme la Sentencia de la Sala Segunda del Tribunal Supremo 197/2006, de 20 de febrero, las redenciones debían aplicarse en cada pena, por lo que el licenciamiento definitivo del recurrente debía demorarse hasta el 19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Segunda de la Sala de lo Penal de la Audiencia Nacional, mediante providencia de 5 de octubre de 2006, acordó el licenciamiento definitivo del recurrente para el día 19 de diciembre de 2016. Interpuesto recurso de súplica, en que se alegaba, entre otros aspectos, que el licenciamiento definitivo debía producirse el 30 de diciembre de 2006, habida cuenta de que las redenciones debían aplicarse sobre el límite máximo de cumplimiento de treinta años, fue desestimado por Auto de 20 de noviembre de 2006 con fundamento en que “a tenor de la sentencia de Tribunal Supremo núm. 197/2006, de fecha 28/02/06, en los supuestos de acumulación de condenas (fundamento de derecho cuarto), la redención como pretende el recurrente no puede aplicarse sobre el límite de 30 años de las condenas acumuladas, sino sobre todas y cada una de las condenas impuestas, empezando por la más grave, lo que hace, como señala el Ministerio Fiscal en su informe, que el licenciamiento debe producirse el 19/12/2016”.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se han vulnerado sus derechos fundamentales a la tutela judicial efectiva (art. 24.1 CE), a un proceso con todas las garantías (art. 24.2 CE), a la legalidad (art. 25.1 y 2 CE), a la libertad (art. 17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 los derechos a la tutela judicial efectiva (art. 24.1 CE) y a un proceso con todas las garantías (art. 24.2 CE), así como el derecho a un recurso efectivo [art. 14.5 del Pacto internacional de derechos civiles y políticos (PIDCP)], todo ello en relación con el art. 17 CE. Con cita de las SSTC 11/1987 y 123/2005, expone la demanda que la Audiencia Nacional, en la providencia de 5 de octubre de 2006, acordó una fecha de licenciamiento definitivo diferente a la propuesta por el centro penitenciario sin dar trámite de audiencia al recurrente, pese a que, como se reconoce posteriormente en el Auto de 20 de noviembre de 2006, se introdujo una perspectiva jurídica novedosa en cuanto al cómputo de las redenciones por trabajo derivada de la STS 197/2006, de 28 de febrero, que empeoraba la situación del reo y obligaba al cumplimiento íntegro de los treinta años, y respecto de la cual el recurrente no pudo defenderse ni someterla a contradicción. Entiende, además, que ello vulnera el principio acusatorio, porque el órgano judicial asume funciones acusatorias constitucionalmente vedadas. Por otra parte, sostiene el recurrente que la Audiencia Nacional, al dictar esta resolución sin oír a las partes y aplicar la doctrina del Tribunal Supremo, impide el derecho a una segunda instancia, pues el Tribunal Constitucional es el único órgano al que se ha podido dirigir el recurrente para reclamar el derecho a la defensa y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motivo de amparo, se aduce la vulneración del principio de legalidad (art. 25.1 y 2 CE), en relación con la interpretación de los arts. 70.2 y 100 CP 1973, así como de los arts. 66 del reglamento de prisiones de 1956 y del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penitenciaria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motivo de amparo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realizaron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cuarto motivo de amparo, se considera vulnerado el principio de legalidad (art.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15 de noviembre de 2010, acordó admitir a trámite la demanda de amparo y, en aplicación de lo dispuesto en el art. 51 de la Ley Orgánica del Tribunal Constitucional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206/2010, de 30 de diciembre, acordando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por diligencia de ordenación de 18 de mayo de 2011, tuvo por recibidos los testimonios interesados, y acordó, conforme al art. 52.1 LOTC, dar vista de las actuaciones, por un plazo común de veinte días, al Ministerio Fiscal y al recurrente para que pudieran presentar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30 de junio de 2011, interesó la estimación del amparo solicitado y la anulación de las resoluciones recurridas, por entender que éstas han vulnerado los derechos fundamentales de ejecución de las resoluciones judiciales en sus propios términos (art. 24.1 CE), legalidad penal (art. 25.1 CE), y de libertad personal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procede ordenar de modo distinto al propuesto en la demanda los motivos de amparo. Es por ello que comienza por el examen del séptimo y último motivo expuesto, relativo a la vulneración del principio de legalidad penal (art. 25.2 CE) en el enunciado relativo al carácter rehabilitador y de reinserción social que deben tener las penas señaladas en el Código penal. En opinión del Ministerio Fiscal este motivo debe ser rechazado a limine porque el art. 25.2 CE no contiene un derecho fundamental del ciudadano susceptible de ser invocado en amparo, sino más bien un mandato destinado al legislador para orientar la política penal y penitenciaria.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Ministerio Fiscal analiza —para rechazarlo— el primero de los motivos de amparo recogidos en la demanda, en el que se denuncia la falta de audiencia de la defensa con carácter previo a la aplicación de la nueva doctrina establecida por la Sala Segunda del Tribunal Supremo en su Sentencia 197/2006. El Ministerio Fiscal sostiene la carencia manifiesta de fundamento de este motivo, desde el momento en que la representación del actor ha hecho uso efectivo de este derecho a ser oído cuando interpuso recurso de súplica contra la providencia de 5 de octubre de 2006 formulando las alegaciones que tuvo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cuarto de los motivos de amparo, en el que se alega vulneración del art. 25.1 CE por aplicación retroactiva de normas desfavorables, sostiene el Ministerio Fiscal que —frente a lo afirmado en la demanda— no nos encontramos ante un supuesto de aplicación retroactiva del art. 78 CP 1995, sino ante un cambio de criterio jurisprudencial en la interpretación del art. 70.2 CP vigente al tiempo de comisión de los hechos, siendo este último precepto el que se ha aplicado en todo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rechaza también la denunciada vulneración del derecho a la igualdad en la aplicación de la Ley (art. 14 CE). En primer lugar, porque el órgano judicial que ha dictado las resoluciones impugnadas (la Audiencia Nacional) es distinto de aquel que sentó la doctrina supuestamente discriminatoria (el Tribunal Supremo). Y, en segundo lugar, porque en todo caso el cambio de criterio se fundamenta razonablemente en la Sentencia de la Sala Segunda del Tribunal Supremo y tiene vocación de generalidad y permanencia, por lo que satisface las exigencias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Ministerio Fiscal considera conjuntamente los motivos enunciados en la demanda como motivos segundo (vulneración del principio de igualdad ex art. 25.1 y 2 en relación con el art. 9.1 CE), tercero (vulneración del derecho a la tutela judicial efectiva y a no padecer indefensión en relación con el derecho a la libertad personal, ex art. 17 CE) y sexto (vulneración del art. 17.1 CE en cuanto a la libertad personal del demandante de amparo). Para el Ministerio Fiscal el debate que sugiere la demanda de amparo debe partir de la existencia de un cambio de criterio, ya que, en primer lugar, el órgano judicial había dictado en ejecución de Sentencia el Auto de 29 de junio de 2001 acordando la acumulación de las condenas recaídas en diversos procesos, fijándose un máximo de cumplimiento de treinta años, en cuya virtud las liquidaciones de condena practicadas concluían una fecha de licenciamiento definitivo para el 30 de diciembre de 2006. Y, en segundo lugar, las resoluciones judiciales recurridas (providencia de 5 de octubre de 2006, que fija una nueva fecha de licenciamiento definitivo para el 19 de diciembre de 2016, y Auto de 20 de noviembre de 2006, que desestima el recurso de súplica interpuesto contra la anterior providencia) modificaron el inicial criterio como consecuencia de la concurrencia de esa nueva interpretación sobre refundición de penas efectuada en la STS de 28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el Ministerio Fiscal destaca que el criterio de legalidad de ejecución penal forma parte del contenido del principio de legalidad, de tal modo que resulta esencial determinar el tiempo de la resolución judicial que fijó la liquidación de condena y los criterios empleados para ello (Auto de 29 de junio de 2001), sin que a priori éstos puedan variarse en virtud de una resolución judicial posterior que interpreta las normas atinentes de otra manera (STS de 28 de febrero de 2006), pues la modificación de la primera resolución judicial, que se basa en una interpretación concreta de la normativa en juego, en atención a una nueva interpretación de dicha normativa comporta la vulneración del derecho a la intangibilidad de las resoluciones judiciales ex art. 24.1 CE. El Ministerio Fiscal reconoce que este derecho no ha sido expresamente alegado por la parte, a pesar de lo cual su denuncia se desprende cuando se argumenta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también señala que el derecho fundamental a la intangibilidad de las resoluciones judiciales tiene engarce con el principio de legalidad (art. 25.1 CE) en relación con la prohibición de retroactividad de las normas penales perjudiciales para el reo (art. 9.3 CE), ya que las garantías de legalidad y seguridad jurídica que exigen ambos preceptos constitucionales deben extenderse no sólo al enjuiciamiento de los hechos como tipicidad cierta, taxativa y previsible, sino también a la ejecución de las penas, de modo que la irretroactividad de las normas y su interpretación desfavorable al reo debe integrarse en el complejo de legalidad del art. 25.1 CE (con cita de jurisprudencia del Tribunal Europeo de Derechos Humanos). A partir de ello, el Ministerio Fiscal argumenta que en el asunto objeto del recurso de amparo “las resoluciones judiciales no se han limitado a variar la fecha de licenciamiento de conformidad con los extremos anejos al devenir del cumplimiento de la pena impuesta (por ejemplo, con datos relativos a la redención de penas por el trabajo) sino que han alterado éstos de manera desfavorable al reo, aportando una revisión interpretativa desfavorable que supone de facto la creación ex novo de un nuevo marco paranormativo que ha causado una extensión de la fecha de licenciamiento del interno, y una revisión de la aplicación de los beneficios de la redención de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destaca el Ministerio Fiscal que la vulneración del derecho a la libertad personal (art. 17.1 CE) resulta ser consecuencia inexcusable de las dos vulneraciones anteriores —derecho a la intangibilidad de las resoluciones judiciales (art. 24.1 CE) y legalidad penal en relación con la irretroactividad de lo desfavorable para el reo (art. 25.1 CE en relación con el art. 9.3 CE)—, ya que, a resultas de la nueva y desfavorable interpretación de la normativa en juego que las resoluciones judiciales han efectuado en contra del reo, éste obtiene el licenciamiento definitivo en fecha muy posterior a la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por escrito registrado el 20 de junio de 2011, formuló sus alegaciones en las que sustancialmente reproduce los argumentos ya expuestos en la demanda. Añade, en relación con el quinto motivo de amparo, la referencia a dos casos de condenados en el mismo procedimiento a los que no les fue aplicada la doctrina establecida en la STS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febrero de 2012, el Pleno acuerda recabar para sí, a propuesta de la Sala Primera, el conocimiento del presente recurso de amparo que se tramitaba en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marzo de 2012,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es determinar si la decisión judicial de que al recurrente, en aplicación de la Sentencia de la Sala Segunda del Tribunal Supremo núm. 197/2006, de 28 de febrero, se le computen las redenciones sobre todas y cada una de las penas impuestas y no sobre el máximo de cumplimiento de treinta años acordado en el Auto de acumulación de condenas, vulnera los derechos fundamentales a la tutela judicial efectiva (art. 24.1 CE), a un proceso con todas las garantías (art. 24.2 CE), a la legalidad (art. 25.1 y 2 CE), a la libertad (art. 17.1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primera de las quejas, bajo la invocación de los derechos a la tutela judicial efectiva (art. 24.1 CE) y a un proceso con todas las garantías (art. 24.2 CE), se denuncia en primer lugar —y al margen de una vulneración del principio acusatorio carente del menor desarrollo argumental para que pueda ser tomada en consideración por este Tribunal— la indefensión generada por la Audiencia Nacional en su providencia de 5 de octubre de 2006, al fijar una fecha en el cómputo para la liquidación definitiva de la condena, conforme a lo solicitado por el Ministerio Fiscal, sin dar traslado previamente a la defensa para que se pronunciara al respecto, pese a que la propuesta del centro penitenciario ofrecía una fecha de licenciamiento definitivo alternativa a la que fue finalmente aprobada, cuestión esta que afectaba decisivamente a su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Ministerio Fiscal, y aunque hubiera sido deseable que se hubiera dado trámite de audiencia, su ausencia no determina la existencia de las vulneraciones alegadas. En relación con el derecho fundamental a no padecer indefensión, este Tribunal ha declarado que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todas, SSTC 14/2008, de 31 de enero, FJ 3; 62/2009, de 9 de marzo, FJ 4; y 12/2011, de 28 de febrero, FJ 3). Pues bien, en el presente caso no concurre una situación material de indefensión efectiva constitucionalmente relevante, puesto que el recurrente pudo defenderse y someter a contradicción la aplicación de la nueva doctrina sobre el cómputo de la redención de pena en el recurso de súplica que interpuso, como de hecho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hecho se anuda, dentro de este primer motivo de amparo, una nueva vulneración del derecho defensa, así como del derecho al recurso y a una segunda instancia penal. Esta segunda vertiente de la queja tampoco puede ser asumida, puesto que el recurrente —en contra de lo que sostiene— sí tuvo acceso al recurso legalmente previsto (el recurso de súplica), que no fue inadmitido sino resuelto y desestimado por Auto de 20 de noviembre de 2006. Por otro lado, carece de fundamento constitucional la aplicación a un supuesto como éste de la doctrina relativa al doble grado de jurisdicción en materia penal, puesto que no está en cuestión el derecho a la revisión del fallo condenatorio y la pena por un Tribunal superior. Este es el derecho consagrado en el art. 14.5 del Pacto internacional de derechos civiles y políticos (PIDCP) y en el art. 2 del Protocolo 7 del Convenio europeo para la protección de los derechos humanos y de las libertades fundamentales (ratificado por España el 28 de agosto de 2009, “BOE” de 15 de octubre de 2009) y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este grupo de quejas articuladas como primer motivo de amparo, en los restantes motivos se denuncia desde diversas perspectivas constitucionales la cuestión de fondo, esto es, la aplicación al presente caso de un nuevo criterio jurisprudencial en la interpretación de los arts. 70.2 y 100 del Código penal de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había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como quedó reflejado en los antecedentes, la vulneración del principio de igualdad en la aplicación de la ley (art.14);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Todo ello en la medida en que la aplicación del nuevo criterio de cómputo de las redenciones de penas por trabajo modifica sus expectativas de alcanzar la libertad en un plazo menor al de treinta años de cumplimiento efectivo, ya que con el anterior criterio de cómputo las redenciones se descontarían de ese límite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cual, hemos de comenzar precisando cuáles son los derechos fundamentales en juego y cuál ha de ser nuestro parámetro de enjuiciamiento en esta materia. No obstante, con carácter previo, conviene aclarar que el objeto del presente recurso de amparo no lo constituye la Sentencia 197/2006, de 28 de febrero, dictada por la Sala Segunda del Tribunal Supremo, sino que nuestro examen se ha de limitar a la consideración de la respuesta judicial que para el caso concreto se contiene en las resoluciones recurridas, en las que acuerda la acumulación de la condenas del recurrente, fijando el límite máximo de cumplimiento y la aplicación como criterio de cómputo de las redenciones el establecido con carácter previo en la STS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la resolución dictada por la Audiencia Nacional se limita a aplicar la doctrina sentada con anterioridad por otro órgano judicial, el Tribunal Supremo, máximo intérprete de la ley, justificando el cambio de criterio en el cómputo de las redenciones de penas por el trabajo, frente a otros supuestos resueltos con anterioridad, precisamente en aplicación de esa doctrina. Por tanto, en el presente caso no puede apreciarse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respuesta judicial obtenida por el recurrente en las resoluciones judiciales recurridas vulneró su derecho a la tutela judicial efectiva (art. 24.1 CE) en relación con su derecho a la libertad (art. 17.1 CE), lo que —según se argumenta en los motivos de amparo tercero y sexto— habría sucedido en el presente caso, en la medida en que la aplicación del nuevo criterio jurisprudencial de cómputo de la redención de penas por trabajo implicó la defraudación de una legítima expectativa de alcanzar la libertad en un momento anterior al cumplimiento efectivo del máximo de treinta años establecido en el art. 70.2 CP 1973 consolidada en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Dicho análisis nos obliga a tomar en consideración una serie de datos del caso concreto, que se desprenden del examen de las actuaciones recibidas, y de los que se infiere que no existe en el presente caso ninguna resolución judicial firme de la que pueda derivarse el efecto pretendido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con mayor amplitud se ha hecho constar en los antecedentes, la Sección Segunda de la Sala de lo Penal de la Audiencia Nacional, mediante Auto de 29 de junio de 2001, acordó, de conformidad con los arts. 988 de la Ley de enjuiciamiento criminal y 70.2 CP, refundir las diversas condenas impuestas al recurrente en cuatro procedimientos diferentes y fijar en un máximo de treinta años el periodo de privación de libertad a cumplir. Igualmente, se constata que el centro penitenciario en que cumplía su pena el recurrente realizaba los diversos cómputos de liquidación de pena sobre el máximo de cumplimiento, pero no hay ninguna resolución judicial relevante del Tribunal sentenciador en la ejecutoria hasta que, mediante la providencia de 5 de octubre de 2006 que es objeto de esta pretensión de amparo, el Tribunal asumió la propuesta de cumplimiento definitivo de condena del demandante realizada por el centro penitenciario en el que se encontraba en ese momento interno, aplicando el cómputo sobre cada una de las penas impuesta y no sobre el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existen resoluciones judiciales de las que pueda derivarse el efecto de intangibilidad respecto al criterio de cómputo de las redenciones pretendido. Así, en cuanto a las resoluciones del Juzgado de Vigilancia Penitenciaria en que se reconocen los días de redención de pena por el trabajo u otras actividades realizadas,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y reconoce un determinado número de días redimidos que, posteriormente, el Tribunal sentenciador ha de computar en la liquidación de condena cuando la misma se produzca.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atribuir tal efecto al Auto de 29 de junio de 2001. Este Auto se limita a acumular las condenas impuestas al recurrente, fijando como máximo de cumplimiento treinta años de privación de libertad, en aplicación de la regla segunda del art. 70 CP 1973. No existe en el mismo Auto referencia alguna a la redención de penas por el trabajo o al criterio de cómputo de las mismas, ni puede concluirse que dicho criterio sea determinante para la decisión que se adopta. Tan sólo el límite máximo de cumplimiento devenía inmodificable y no podía ser alterado. Ahora bien, las resoluciones impugnadas no afectan al límite de cumplimiento establecido, que no aparece comprometido ni modificado por la fecha de licenciamiento definitivo que se acuerda para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no cabe apreciar la denunciada vulneración del derecho a la tutela judicial efectiva en su vertiente de intangibilidad de las resoluciones judiciales firmes (art. 24.1 CE) ni, tampoco por esta causa, la vulneración del derecho a la libertad personal (art. 17.1 CE). En efecto, ni puede afirmarse la existencia de una resolución judicial firme e intangible anterior de la que se derive la aplicación al caso de un criterio de cómputo de las redenciones de pena por trabajo distinto del aplicado por las resoluciones recurridas, ni que el recurrente tuviera por ello una legítima expectativa concreta, derivada de la actuación previa de los órganos judiciales en la presente ejecutoria, de alcanzar su libertad en un momento distinto al que resulta de las resoluciones judiciales recurridas.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Denegar el amparo solicitado por don Pedro María Rezabal Zurutuza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Pérez Tremps a la Sentencia dictada en el recurso de amparo avocado núm. 11643-2006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del Pleno debo manifestar mi discrepancia con el fallo alcanzado en este asunto, manifestación que dejo patente en tanto que soy Ponente de la presente Sentencia y, en dicha condición, recojo en ella una opinión mayoritaria contraria a mi criterio. En cuanto a las razones sustantivas de mi discrepancia basta con remitirme a la opinión concurrente dictada en el recurso de amparo avocado núm. 4893-2006, donde ya expuse el razonamiento por el que concluyo que, en asuntos como el presente, ha existido una vulneración del art. 17.1 CE que debería haber conducido al otorgamiento del amparo solicitado.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Adela Asua Batarrita a la Sentencia dictada en el recurso de amparo núm. 11643-2006.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t>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