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1403-2007, promovido por don José Cándido Zubikarai Badiola, representado por el Procurador de los Tribunales don José Javier Cuevas Rivas y asistido por el Abogado don Iñaki Goioaga Llano, contra las providencias de 1 de septiembre y 16 de noviembre de 2006 y el Auto de 11 de enero de 2007 dictados por la Sección Segunda de la Sala de lo Penal de la Audiencia Nacional en la ejecutoria núm. 20-1992. Ha intervenido el Ministerio Fiscal.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febrero de 2007, el Procurador de los Tribunales don José Javier Cuevas Rivas, en nombre y representación de don José Cándido Zubikarai Badiola,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Zubikarai Badiola fue condenado por la Sala de lo Penal de la Audiencia Nacional, Sección Segunda, mediante Sentencia de 20 de octubre de 1990 (rollo de sala 26-1989, sumario 17-1989 del Juzgado Central de Instrucción núm. 2), a la pena de veintisiete años de reclusión mayor e inhabilitación absoluta durante igual tiempo por un delito de asesinato con la agravante de alevosía. Recurrida esta Sentencia en casación, fue confirmada por Sentencia de la Sala de lo Penal del Tribunal Supremo de 3 de febrero de 1992. Permanecía en prisión preventiva por esta causa desde el 20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señor Zubikarai Badiola fue condenado también por Sentencia de la misma Sala y Sección de la Audiencia Nacional de 24 de febrero de 1992 (procedimiento dimanante de las diligencias previas 88-1989 del Juzgado Central de Instrucción núm. 5) a la penas de ocho años de prisión mayor y multa de 200.000 pesetas, por un delito de colaboración con banda armada.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misma Sala y Sección de 20 de octubre de 1993 se procedió, de conformidad con lo dispuesto en los arts. 17.5 y 988 de la Ley de enjuiciamiento criminal y el art. 70, regla 2, del Código penal de 1973 (CP 1973), a la refundición de las condenas impuestas al señor Zubikarai Badiola y se fijó el límite máximo de la condena total a cumplir en la duración de 30 años de privación de libertad. Dicho Auto alcanzó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refundición de condenas, el Secretario Judicial de la Sala practicó el 8 de noviembre de 1993 liquidación de las condenas impuestas al señor Zubikarai Badiola, fijando como fecha de cumplimiento definitivo el día 12 de abril de 2019, una vez descontado del total el tiempo que permaneció en prisión preventiva por dichas causas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la misma Sala y Sección de 18 de junio de 1996, asimismo firme, se acordó, conforme a las disposiciones transitorias del nuevo Código penal de 1995 (CP 1995), que no procedía revisar las penas impuestas al señor Zubikarai Badiola.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1 de septiembre de 2006, la Sección Segunda de la Sala de lo Penal de la Audiencia Nacional aprobó la propuesta de cumplimiento definitivo de condena del señor Zubikarai Badiola realizada por el centro penitenciario de Alicante II, en el que se encontraba en ese momento interno, fijando como nueva fecha de cumplimiento y excarcelación el 25 de octubre de 2011, en aplicación del criterio jurisprudencial de cómputo de la redención de penas por el trabajo en penas acumuladas establecido por la Sentencia de la Sala de lo Penal del Tribunal Supremo núm. 197/2006, de 28 de febrero, sin perjuicio de las redenciones que le pudieran ser aplicadas en su día, rechazando, al mismo tiempo, la propuesta alternativa del centro penitenciario que fijaba como fecha de licenciamiento definitivo el día 26 de octubre de 2006, resultado de aplicar el criterio de cómputo anterior 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presentado el 25 de octubre de 2006 la representación procesal del señor Zubikarai Badiola solicitó a la Sección Segunda de la Sala de lo Penal de la Audiencia Nacional su puesta en libertad, alegando que el cumplimiento definitivo de su condena se debía producir el 26 de octubre de 2006 y rechazando la aplicación del criterio establecido por la Sentencia de la Sala de lo Penal del Tribunal Supremo núm. 197/2006, de 28 de febrero, con invocación de la lesión de los principios de irretroactividad de las normas penales desfavorables y seguridad jurídica (art. 9.3 CE), del principio de igualdad (art. 14 CE), del derecho a la libertad (art. 17 CE), del derecho a la tutela judicial efectiva en la vertiente de intangibilidad de las resoluciones judiciales firmes (art. 24.1 CE), del derecho de defensa (art. 24.2 CE), y del principio de legalidad penal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providencia de 16 de noviembre de 2006 la Sección Segunda de la Sala de lo Penal de la Audiencia Nacional acordó mantener su anterior providencia de 1 de septiembre de 2006, en la que se acordó como fecha de cumplimiento definitivo de la condena del recurrente el día 25 de octubre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señor Zubikarai Badiola interpuso recurso de súplica contra la providencia de 16 de noviembre de 2006, reproduciendo la petición de puesta en libertad formulada en su escrito de 25 de octubre de 2006 y reiterando la denuncia de vulneración de los mismos derechos fundamentales y principios constitucionales invocados en dicho escrito. La Sección Segunda de la Sala de lo Penal de la Audiencia Nacional dictó Auto de fecha 11 de enero de 2007, por el que, tras reiterar la aplicación al caso del nuevo criterio establecido por la citada Sentencia de la Sala de lo Penal del Tribunal Supremo núm. 197/2006, de 28 de febrero, rechazó la existencia de lesión constitucional alguna y, en su parte dispositiva, acordó desestimar el recurso de súplica interpuesto contra la resolución de 1 de septiembre de 2006, que se mantuvo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los siete motivos o quejas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del derecho a la tutela judicial efectiva sin indefensión (art. 24.1 CE) y de los derechos a la defensa, a ser informado de la acusación y a un proceso con todas las garantías (art. 24.2 CE), así como de los derechos reconocidos por los arts. 6 y 13 del Convenio europeo para la protección de los derechos humanos y de las libertades fundamentales (CEDH) y por el art. 14.1 y 5 del Pacto internacional de derechos civiles y políticos (PIDCP), todo ello en relación con el derecho a la libertad (art. 17 CE). Sostiene el recurrente que la Audiencia Nacional acordó en las resoluciones impugnadas la aplicación de la nueva doctrina de la Sala de lo Penal del Tribunal Supremo sentada en la Sentencia núm. 197/2006, de 28 de febrero, que establece un nuevo criterio en cuanto al cómputo de las redenciones por trabajo que empeoraba la situación del reo y obliga al cumplimiento íntegro de la condena de treinta años, decisión de la que el recurrente no ha podido defenderse ni someterla a contradicción, y que compromete, en consecuencia, la imparcialidad de la Audiencia Nacional. Por otra parte, sostiene el recurrente que la Audiencia Nacional, al aplicar la nueva doctrina del Tribunal Supremo sin oírle previamente ha impedido su derecho a la segunda instancia, pues el Tribunal Constitucional es el primer órgano al que se ha podido dirigir el recurrente para reclamar frente a la indefensión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amparo se aduce la vulneración del principio de legalidad (art. 25 CE, en relación con el art. 9.3 CE), por la interpretación realizada por la Audiencia Nacional de los arts. 70.2 y 100 CP 1973, así como de los arts. 66 del reglamento de prisiones de 1956 y del art. 202 del reglamento penitenciario actual. Según el recurrente la interpretación sentada por la Sala de lo Penal del Tribunal Supremo en su Sentencia núm. 197/2006, de 28 de febrero, y aplicada en el presente caso por la Audiencia Nacional,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denuncia el recurrente la vulneración del derecho a la tutela judicial efectiva sin indefensión (art. 24.1 CE), en cuanto garantiza la intangibilidad de las resoluciones judiciales firmes, en relación con el derecho a la libertad (art. 17 CE). Sostiene el recurrente que la nueva interpretación del cómputo de las redenciones sobre la totalidad de la condena que realiza la Sala de lo Penal del Tribunal Supremo en su Sentencia núm. 197/2006, de 28 de febrero, aplicada en su caso por la Audiencia Nacional en las resoluciones impugnadas en amparo, le genera indefensión e inseguridad jurídica, puesto que las redenciones aprobadas por los Juzgados de Vigilancia Penitenciaria, intangibles y firmes, aplicadas (como se venía haciendo) al tope de treinta años, suponían una expectativa de importante acortamiento de su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se aduce la lesión del principio de legalidad (art. 25.1 CE, en relación con el art. 9.3 CE, así como el art. 7 CEDH y el art. 15 PIDCP), por aplicación retroactiva de una ley desfavorable. Se denuncia por el recurrente que las resoluciones judiciales impugnadas, al seguir el nuevo criterio establecido por la Sala de lo Penal del Tribunal Supremo en su Sentencia núm. 197/2006, de 28 de febrero, están aplicando retroactivamente el art. 78 CP 1995 a un penado bajo el Código penal de 1973, norma ésta que el recurrente considera como ley más favorable, en la medida en que las redenciones incidían sobre la liquidación de condena, acortando el tiempo de internamiento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quinto motivo de amparo se alega la lesión del derecho a la igualdad en la aplicación de la ley (art. 14 CE), en relación con el art. 14 CEDH. Denuncia el recurrente que las resoluciones judiciales impugnadas incurren en un injustificado y arbitrario cambio de criterio al aplicar la Sentencia de la Sala de lo Penal del Tribunal Supremo núm. 197/2006, de 28 de febrero, que rompe con la jurisprudencia anterior al respecto, en un momento en que el Código penal de 1973 ya está derogado y resulta aplicable a un número muy limitado de internos, sin que existan razones que justifiquen dicho cambio de criterio. Se afirma que se trata de cambio de criterio ad personam, constitucionalmente vedado, del que resulta que al recurrente se le deniega de manera discriminatoria lo que a otros muchos presos se les concedió. Añade, más específicamente, que dicho trato desigual se pone de manifiesto en relación con otro coimputado en la misma causa —el señor Urdiain Ciriza— de quien, se afirma, fue puesto en libertad definitiva el 25 de enero de 2006, pese a haber sido condenado por los mismos hechos y a las mismas penas, lo que pondría de relieve que a él sí se le han aplicado los beneficios penitenciarios con otra forma de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sexto motivo de amparo se alega la vulneración del derecho a la libertad (art. 17.1 CE), en relación con los arts. 5 y 7.1 CEDH y los arts. 9.1 y 5 y 15.1 PIDCP. Tras resaltar que, conforme a la doctrina de este Tribunal, la redención de penas por el trabajo afecta al derecho a la libertad personal, se sostiene por el recurrente, con cita del voto particular a la Sentencia de la Sala de lo Penal del Tribunal Supremo núm. 197/2006, de 20 de febrero, que el mencionado cambio de criterio jurisprudencial contra reo que dicha Sentencia introduce, y que ha sido aplicado en su caso por las resoluciones judiciales impugnadas, modifica su expectativa de libertad, implicando un alargamiento de su estancia en prisión hasta el cumplimiento de los treinta años íntegros de condena, sin fundamento jurídico alguno y vaciando absolutamente de contenido la institución de la redención de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recurrente alega la vulneración del art. 25.2 CE, en relación con las “Reglas mínimas para tratamiento de los reclusos” elaboradas en el primer Congreso de las Naciones Unidas sobre prevención del delito y tratamiento del delincuente (Ginebra, 1955) y el art. 10.3 PIDCP. Se aduce que, de conformidad con el art. 25.2 CE y la citada normativa internacional, las penas privativas de libertad han de estar orientadas a la reinserción social, fin al que se orienta la redención de penas por el trabajo como instrumento de tratamiento penitenciario, principios y normas que resultan vulnerados por la interpretación realizada por el Tribunal Supremo en su Sentencia núm. 197/2006, de 28 de febrero, aplicada por la Audiencia Nacional en las resoluciones impugnadas en amparo, al dejar sin efecto útil alguno la redención de penas y la libertad condicional en presos con condenas superiores a cuarenta y cinco años (conforme a los cálculos realizados por el propio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11 de abril de 2007, el Procurador de los Tribunales don José Javier Cuevas Rivas, en nombre y representación del demandante de amparo, solicitó la suspensión de las resoluciones impugnadas al considerar que la ejecución ocasiona un perjuicio que haría perder al amparo su finalidad ya que se encuentra en prisión, cumpliendo una condena más allá del límite máximo establecido en el art. 70.2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mayo de 2007 la Sala Primera de este Tribunal acordó la admisión a trámite de la demanda de amparo y, a tenor de lo dispuesto en el art. 51 de la Ley Orgánica del Tribunal Constitucional (LOTC), requerir atentamente a la Sección Segunda de la Sala de lo Penal de la Audiencia Nacional para que en el plazo de diez días remitiera testimonio de la ejecutoria núm. 20-1992 (dimanante del sumario 17-1989 del Juzgado Central de Instrucción núm. 2), interesándose al propio tiempo el emplazamiento de quienes fueron parte en el procedimiento, a excepción del demandante de amparo, ya personado, para que pudieran comparecer en el plazo de diez días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 Concluida la tramitación del incidente, la Sala Primera acordó denegar la suspensión interesada por ATC 366/2007, de 11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de 18 de julio de 2007 se tuvo por recibido el testimonio de las actuaciones remitido por la Sección Segunda de la Sala de lo Penal de la Audiencia Nacional, y asimismo se procedió, conforme a lo establecido en el art. 52.1 LOTC, a dar vista de las actuaciones por plazo común de veinte días al Ministerio Fiscal y a las partes personadas para presentar las alegaciones que estimasen pertinentes. Dicho plazo fue ampliado por otros veinte días en virtud de la diligencia de ordenación del Secretario de Justicia de la Sala Primera de 8 de noviembre de 2007, como consecuencia de la aportación por la representación procesal del recurrente de las copias de las resoluciones judiciales que le fueron requeridas, a instancias del Ministerio Fiscal por diligencia de ordenación del Secretario de Justicia de la Sala Primera de 15 de octubre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presentó su escrito de alegaciones en este Tribunal el 12 de diciembre de 2007, en el que ratifica las formuladas en la demanda de amparo, las cuales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en este Tribunal su escrito de alegaciones el 12 de diciembre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concurre en el presente caso el óbice de falta de invocación formal en el proceso de los derechos fundamentales que se consideran vulnerados tan pronto como, una vez producida la vulneración, hubiera lugar a ello [art. 44.1 c) LOTC], lo que debe determinar la inadmisión del recurso de amparo (SSTC 171/1992, 153/1999 y 132/2006, por todas). Ello es así por cuanto el recurrente no interpuso recurso alguno contra la providencia de 1 de septiembre de 2006 de la Sección Segunda de la Sala de lo Penal de la Audiencia Nacional (notificada el siguiente 4 de septiembre a su representación procesal) por la que se fijó como fecha de cumplimiento definitivo de su condena el 25 de octubre de 2011, en aplicación del criterio establecido por la Sentencia de la Sala de lo Penal del Tribunal Supremo núm. 197/2006, de 28 de febrero. Dicha providencia, que se recurre per saltum en amparo, es la que ocasiona la pretendida lesión de los derechos fundamentales que se alegan en la demanda de amparo, sin que el incumplimiento del requisito establecido en el art. 44.1 c) LOTC pueda entenderse sanado por la estrategia procesal posterior del recurrente de provocar una nueva resolución (la providencia de 16 de noviembre de 2006, esta sí recurrida en súplica), confirmatoria de la precedente, mediante la presentación el 25 de octubre de 2006 del escrito solicitando a dicha Sala y Sección su puesta en libertad por cumplimiento definitivo de su condena el 26 de octubre de 2006, rechazando la aplicación del criterio establecido por la referida Sentencia del Tribunal Supremo núm. 197/2006, e invocando los derechos fundamentales que considera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entiende el Fiscal que, al haber consentido el recurrente la providencia de 1 de septiembre de 2006, concurre también el óbice de falta de agotamiento de los recursos utilizables dentro de la vía judicial [art. 44.1 a) LOTC], lo que debe conducir igualmente a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este Tribunal no comparta la apreciación sobre la existencia de los referidos óbices de inadmisibilidad, procede a continuación el Fiscal a analizar los motivos de la demanda de amparo, considerando que los numerados como segundo, tercero y sexto constituyen la médula del amparo que se solicita, mientras que los motivos de amparo restantes carecen de fundamento y deben ser rechazados, según el Fiscal,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ante todo debe ser rechazada la pretendida vulneración del art. 25.2 CE (motivo séptimo de amparo) porque, como reiteradamente ha destacado este Tribunal, dicho precepto constitucional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asimismo de fundamento la queja del recurrente referida a la infracción del derecho a la tutela judicial efectiva, a la que asocia la de sus derechos de defensa, a ser informado de la acusación, a un proceso público y con todas las garantías y a un juicio justo, todo ello en relación con el derecho a la libertad, porque la Audiencia Nacional no le dio trámite de audiencia antes de dictar la providencia que acordó la aplicación de la nueva doctrina establecida por la Sala de lo Penal del Tribunal Supremo en su Sentencia núm. 197/2006, de 28 de febrero (motivo de amparo primero), pues lo cierto es que el recurrente tuvo la efectiva oportunidad de ser oído, en primer lugar cuando formuló su petición de libertad mediante el escrito que presentó el 25 de octubre de 2006, y luego al interponer su recurso de súplica contra la providencia de 16 de noviembre de 2006. En cuanto a la imposibilidad de recurrir en casación, la queja carece asimismo de fundamento, pues no es el órgano judicial quien le ha vedado de un recurso, legalmente inexistente, a lo que cabe añadir que la exigencia de doble instancia penal lo es para Sentencias penales condenatorias, no para controversias sobre la ejecución de una condena,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tampoco vulneración del principio de legalidad penal conectado al de irretroactividad de las normas penales y restrictivas de derechos (motivo de amparo cuarto), pues no tiene fundamento alguno sostener que se han vulnerado dicho principio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28 de febrero, y no el art. 78 CP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tampoco cabe apreciar lesión del derecho fundamental a la igualdad en la aplicación de la ley que garantiza el art. 14 CE (motivo de amparo quinto), ante todo porque el órgano judicial que ha dictado las resoluciones impugnadas en amparo es distinto del que ha dictado la Sentencia cuya doctrina ha generado, supuestamente, la situación personal discriminatoria; y, en segundo término porque, aun cuando hubiera existido en la Sala de lo Penal del Tribunal Supremo el criterio de apartarse de una anterior línea jurisprudencial uniforme, no cabe sino reconocer que la Sentencia en cuestión se fundamenta en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 que resulta relevante según el Fiscal, como se desprende de los motivos segundo, tercero y sexto de la demanda de amparo, es la aplicación del nuevo criterio jurisprudencial surgido de la citada Sentencia de la Sala de lo Penal del Tribunal Supremo núm. 197/2006, de 28 de febrero, a situaciones ya reconocidas por resoluciones firmes, en referencia al Auto de 20 de octubre de 1993 de la Sección Segunda de la Sala de lo Penal de la Audiencia Nacional que refundió las condenas impuestas al recurrente y señaló como pena única a cumplir la de treinta años, así como a las liquidaciones de condena que siguieron a ese Auto con aplicación de las redenciones que se iban produciendo (antes de dictarse las resoluciones judiciales impugnadas en amparo), lo que resulta perjudicial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firmeza de las referidas resoluciones impide, a juicio del Fiscal, la revisión de ese criterio en virtud de una jurisprudencia posterior porque ello rompe con las legítimas expectativas del interno y lesiona su derecho a la intangibilidad de las resoluciones judiciales firmes, que forma parte del derecho a la tutela judicial efectiva garantizado por el art. 24.1 CE, y supone asimismo una interpretación retroactiva desfavorable para el reo en la ejecución de las penas, lo que determina la vulneración del principio de legalidad penal (art. 25.1 CE). A estas vulneraciones debe añadirse, según el Fiscal, y como consecuencia inexcusable de las mismas, la vulneración del derecho a la libertad personal (art. 17.1 CE), por cuanto el recurrente, en vez de obtener en la fecha prevista el licenciamiento definitivo de su condena, lo obtendría en fecha muy posterior por aplicación de esa nueva y desfavorable interpretación de la normativa realizada por la Sala de lo Penal del Tribunal Supremo en su Sentencia núm. 197/2006, de 28 de febrero, aplicada por la Audiencia Nacional en las resoluciones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con carácter principal, la inadmisión del recurso de amparo por falta de invocación formal en el proceso de los derechos fundamentales que se consideran vulnerados y por falta de agotamiento de los recursos utilizables dentro de la vía judicial [art. 50.1 a) LOTC, en relación con los arts. 44.1 a) y c) LOTC, en la redacción anterior a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de entenderse que no concurren los referidos óbices, el Fiscal interesa la estimación parcial del amparo, en lo referente a declarar vulnerado el derecho a la tutela judicial efectiva en su vertiente intangibilidad de las resoluciones judiciales firmes (art. 24.1 CE), en conexión con el derecho a la irretroactividad de interpretaciones desfavorables para el reo (art. 25.1 CE) y el derecho a la libertad personal (art. 17.1 CE), procediendo desestimar la demanda de amparo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consecuencia del otorgamiento del amparo ha de ser, según el Fiscal, la anulación de las providencias y Auto impugnados, para que se dicte nueva resolución por la Sección Tercera de la Sala de lo Penal de la Audiencia Nacional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junio de 2011, el Pleno, de conformidad con lo establecido en el art. 10.1 n) LOTC y a propuesta de la Sala Primera,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marzo de 2012,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11 de enero de 2007, de la Sección Segunda de la Sala de lo Penal de la Audiencia Nacional, que desestimó el recurso de súplica presentado contra la anterior providencia de 1 de septiembre de 2006 que acordó haber lugar a aprobar el cumplimiento definitivo de la pena impuesta al demandante con fecha 25 de octubre de 2011, sin perjuicio de las redenciones que le pudieran ser aplicadas en su día, conforme al criterio de la Sentencia núm. 197/2006, de 28 de febrero, de la Sala Segunda del Tribunal Supremo. Según dicha Sentencia, en caso de penas acumuladas la redención de penas por el trabajo obtenida ha de computarse sobre cada una de las penas impuestas y no sobre el límite máximo de cumplimiento que pudiera haberse fijado.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de las infracciones y sanciones (art. 25.1 y 2 CE), a la libertad personal (art. 17.1 CE) y a la igualdad en la aplicación de la ley (art. 14 CE), con la argumentación que ha quedado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inadmisión del recurso por concurrir dos óbices procesales: la tempestiva invocación de las lesiones aducidas tan pronto se produjeron y la falta de agotamiento de la vía judicial previa pues, en su opinión, el demandante se aquietó con la resolución de 1 de septiembre de 2006 que fijó la fecha de su licenciamiento definitivo en octubre de 2011. Subsidiariamente, para el caso de que no se apreciase la existencia de los óbices procesales alegados, apoya la estimación del recurso presentado, por entender que la aplicación del nuevo criterio jurisprudencial fijado en la referida Sentencia 197/2006 del Tribunal Supremo, supone la vulneración de los derechos fundamentales consagrados en los arts. 17.1, 24.1 y 25.1 CE, por afectar a situaciones ya reconocidas por resoluciones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las actuaciones recabadas del Tribunal sentenciador nos impide apreciar los óbices de procedibilidad aducidos por el Ministerio Fiscal en su escrito de alegaciones basados en haber consentido el penado la providencia de 1 de septiembre de 2006 que, como se ha dicho, fijó la fecha de su licenciamiento definitivo en el mes de octubre de 2011. Basta la simple lectura del Auto de 11 de enero de 2007, que el recurrente aduce como resolución que puso fin a la vía judicial previa, para constatar que, frente a lo aducido por el Ministerio Fiscal, en su parte dispositiva el Tribunal sentenciador afirma que el recurso de súplica interpuesto lo fue contra dicha providencia inicial y no contra la posterior de 16 de noviembre, por lo cual, cualesquiera que fueran las vicisitudes procesales de la impugnación, el órgano judicial tuvo por recurrida la providencia de 1 de septiembre de 2006 y revisó, al resolver la súplica, la decisión anterior por la que determinó la fecha de cumplimiento definitivo de la condena, pudiendo así pronunciarse sobre la necesidad de reparar las supuestas vulneraciones aducidas, lo que salvaguarda la subsidiariedad del recurso de amparo, que es fundamento del requisito de admisibilidad aducido.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las quejas formuladas en la demanda, bajo la invocación de los derechos a la tutela judicial efectiva sin indefensión (art. 24.1 CE), a ser informado de la acusación y a un proceso con todas las garantías (art. 24.2 CE), se denuncia, en primer lugar, la supuesta indefensión que le habría producido el hecho de que la primera de las resoluciones recurridas —la providencia de 1 de septiembre de 2006— se adoptó sin haberle dado audiencia previa al demandante, pese a que la propuesta del centro penitenciario ofrecía dos fechas alternativas de licenciamiento definitivo, cuestión ésta que afectaba decisivamente a su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queja tiene base fáctica, pues la secuencia procesal descrita por el demandante fue la seguida por el Tribunal encargado de la ejecución de las penas impuestas; sin embargo ha de ser inadmitida al concurrir respecto de ella, esta vez sí, el óbice procesal consistente en la falta de invocación ante los órganos de la jurisdicción ordinaria [art. 44.1 c) de la Ley Orgánica del Tribunal Constitucional]. En efecto, de la mera lectura del recurso de súplica interpuesto contra las providencias dictadas en fase de ejecución se desprende que el recurrente articuló una serie de motivos de impugnación para oponerse a esa nueva perspectiva jurídica en el cómputo de las redenciones (lo que, en opinión del Ministerio Fiscal, excluiría por sí mismo la indefensión denunciada), pero no denunció entonces indefensión alguna por el motivo ahora analizado, por lo que la alegada queja se trae en amparo sin haber dado oportunidad de pronunciarse sobre la misma al órgano judicial.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del planteamiento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dentro del primero de los motivos de amparo, se aduce la vulneración del derecho a un recurso efectivo y a la segunda instancia penal. Tampoco esta queja puede prosperar, puesto que el recurrente —en contra de lo que sostiene— sí tuvo acceso al recurso legalmente previsto (el recurso de súplica), que no fue inadmitido sino resuelto y desestimado por Auto de 11 de enero de 2007. En dicha resolución el Tribunal sentenciador rechazó expresamente los motivos de impugnación que le fueron planteados permitiendo así al penado conocer la ratio decidendi de la desestimación. A lo expuesto ha de añadirse, como señala el Ministerio Fiscal en sus alegaciones, que carece de fundamento constitucional la pretendida aplicación a un supuesto como éste de la doctrina relativa a la exigencia de un doble grado de jurisdicción en materia penal, puesto que no está en cuestión el derecho a la revisión del fallo condenatorio y la pena por un Tribunal superior. Este derecho, consagrado expresamente en el art. 14.5 del Pacto internacional de derechos civiles y políticos y en el art. 2 del Protocolo 7 del Convenio europeo para la protección de los derechos humanos y de las libertades fundamentales, finalmente ratificado por España el pasado 28 de agosto de 2009, forma parte de las garantías del proceso justo consagradas en el art. 24.2 CE (por todas, SSTC 42/1982, de 5 de julio, FJ 3; 76/1982, de 14 de diciembre, FJ 5; 70/2002, de 3 de abril, FJ 7; y 116/2006, de 24 de abril, FJ 5), pero no es posible extender su alcance —como solicita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los restantes motivos de amparo, alegando siempre que su libertad personal se ha visto ilegítimamente afectada (art. 17.1 CE), denuncia el demandante desde diversas perspectivas constitucionales la cuestión de fondo, esto es, la aplicación a las condenas privativas de libertad que extingue de un nuevo criterio jurisprudencial, adoptado por el Tribunal Supremo en la interpretación de los arts. 70.2 y 100 del Código penal (CP) 1973 y preceptos concordantes del reglamento penitenciario, en relación con el cómputo de la redención de penas por trabajo en penas acumuladas a las que se ha fijado, según prevé el Código penal, un límite máximo de cumplimiento; en este caso de treinta años de prisión. Según se afirma en la demanda, frente al criterio anterior reiteradamente aplicado por los órganos judiciales, conforme al cual los días redimidos se descontaban del límite máximo de cumplimiento una vez operada la refundición o acumulación de condenas, el Tribunal Supremo, en la Sentencia 197/2006, de 28 de febrero, estableció que el beneficio de la redención de penas por el trabajo reconocido en el art. 100 CP 1973 ha de aplicarse no a ese máximo de cumplimiento, sino a cada una de las penas impuestas en las diversas condenas, de modo que la forma de cumplimiento de las condenas impuestas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reflejado en los antecedentes, el recurrente denuncia en los motivos segundo, cuarto, quinto y sexto de su demanda la supuesta vulneración del principio de igualdad en la aplicación de la ley (art. 14 CE) y del principio de legalidad penal —desde la doble perspectiva de la ilegitimidad del nuevo criterio interpretativo y la aplicación retroactiva de una ley desfavorable (art. 25.1 CE)—, ambos puestos en relación con su derecho a la libertad personal (art. 17.1 CE), dado que se trata del cumplimiento de una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cuya estimación propone el Ministerio Fiscal en su escrito de alegaciones, no pueden ser compartidas dado que el contenido de los derechos alegados no tiene el alcance expresado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ya reconocida, sin que de la interpretación sometida a nuestro enjuiciamiento se derive ni el cumplimiento de una pena mayor que la prevista en los tipos penales aplicados, ni la superación del máximo de cumplimiento legalmente previsto. El Tribunal Europeo de Derechos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Grava c. Italia, § 51, en un supuesto referido a la condonación de la pena citando, mutatis mutandis, caso Hogben contra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En dicho precepto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criterio que deviene obligatorio cuando se trata de penas especialmente graves aunque, no obstante, se prevean algunas excepciones que deberá valorar el Juez de vigilancia penitenciaria (art. 78.2 y 3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era posible a la vista del tenor literal de los arts. 70.2 y 100 CP 1973 y el art. 988 de la Ley de enjuiciamiento criminal (LECrim). Por tanto, teniendo en cuenta el razonamiento de los órganos judiciales y los preceptos que se aplican, la queja carece de base fáctica,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sí pueden ser cuestionados desde otras perspectivas. Una de ellas, alegada en la demanda de amparo, tiene que ver con el contenido del derecho a la igualdad en la aplicación de la ley (art. 14 CE). Sin embargo, tampoco desde esta perspectiva puede apreciarse en el presente caso la vulneración denunciada. Como señala el Ministerio Fiscal, las resoluciones impugnadas, dictadas por la Audiencia Nacional, se limitan a aplicar la doctrina sentada por otro órgano judicial, el Tribunal Supremo, máximo intérprete de la ley, justificando razonadamente el cambio de criterio sobre la forma en el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que hay que añadir que para hacer el juicio de igualdad no es válido el término de comparación postulado en la demanda en la que se alega en ésta que un coimputado en la misma causa, condenado a las mismas penas, obtuvo el licenciamiento definitivo el 25 de enero de 2006, pues dicha fecha es anterior en el tiempo a la STS 197/2006, de 28 de febrero, que fue, precisamente, la que estableció el cambio de criterio que sirve como fundamento de la diferente aplicación de la ley que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razones atinentes al principio de legalidad, que el demandante no ha sido privado de su libertad personal en supuestos distintos de los establecidos en la ley penal, lo que descarta la alegada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tercer motivo de amparo denuncia el demandante que la aplicación de la nueva interpretación jurisprudencial que cuestiona, sobre la forma de cómputo de la redención de penas por el trabajo, le genera una situación de indefensión e inseguridad jurídica que vulnera su derecho a la tutela judicial efectiva, en cuanto garantiza la intangibilidad de las resoluciones judiciales firmes (art. 24.1 CE). Sin referencia exacta a ninguna resolución judicial concreta anterior, aduce que la doctrina que le ha sido aplicada modifica la interpretación que hasta entonces se venía haciendo y los derechos que de la misma derivaban. Afirma que realizó las tareas que justificaron la concesión de las redenciones con la convicción de que se descontarían del límite máximo de cumplimiento porque así aparecía en las propuestas de aprobación que formulaba la Administración al Juzgado de Vigilancia Penitenciaria. De tal situación deduce que han de mantenerse las redenciones aprobadas y que las mismas han de ser computadas en la forma que propone, pues no hacerlo es tanto como no reconocerles efectividad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también este razonamiento del demandante por considerar que no es de recibo que “establecidos unos criterios de interpretación normativa para fijar la refundición de condena y establecidos ellos en resolución judicial, pudieran variarse en virtud de una posterior resolución, en este caso de la Sala Segunda del Tribunal Supremo, que interpreta de otra manera las normas atinentes, como lo hacen las resoluciones judiciales ahora recurridas en amparo”. La resolución judicial firme en la que considera el Fiscal que dichos criterios quedaron establecidos de forma intangible sería el Auto de 20 de octubre de 1993 que procedió a refundir las dos condenas impuestas al penado, fijando en treinta años el límite máximo de cumplimiento; resolución judicial en la que, según afirma, “no se explicitan los mecanismos interpretativos, pero sus referencias normativas deben conectarse con la propuesta de liquidación provisional de condena de 8 de noviembre de 1993 y la normativa vigente tal y como era aplicada unánimemente”.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 CE corresponden en exclusiva a los órganos judiciales (STC 147/1988, de 14 de julio, FJ 2; en el mismo sentido, SSTC 237/1998, de 14 de diciembre, FJ 3; y 31/1999, de 8 de marzo, FJ 3). Nuestra función se limita, como hemos hecho al resolver los anteriores motivos de amparo,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simultáneamente el mencionado efecto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tal y como ha sido alegado, la respuesta judicial obtenida por el recurrente en las resoluciones judiciales que son objeto del presente recurso de amparo, al aplicar el nuevo criterio de cómputo de las redenciones a las penas que extingue, ha supuesto, como afirman el demandante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expresado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Zubikarai Badiola fue condenado en octubre de 1990 y febrero de 1992 a las penas de veintisiete años de reclusión mayor y ocho años de prisión mayor, tras ser considerado autor de un delito de asesinato y otro de colaboración con la organización terrorista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había sido condenado en dos procesos por hechos que pudieron ser objeto de uno sólo, el Tribunal sentenciador, por Auto de 20 de octubre de 1993, procedió a fijar en treinta años el límite máximo de cumplimiento de ambas condenas, de conformidad con lo dispuesto en los arts. 17.5 y 988 LECrim y el art. 70, regla 2, CP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decisión, el Secretario Judicial de la Sala practicó el 8 de noviembre de 1993 la liquidación provisional de las condenas impuestas al demandante, según la cual, una vez descontado el tiempo que permaneció en prisión preventiva por dichas causas acumuladas, el demandante extinguiría sus condenas el día 12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la entrada en vigor del Código penal de 1995, a fin de determinar si su aplicación le era más favorable (art. 2.2), el Tribunal sentenciador recabó del centro penitenciario donde cumplía condena la certificación prevista en su disposición transitoria tercera. En ella se hace referencia a los beneficios penitenciarios que el penado había obtenido hasta ese momento y las fechas previstas de cumplimiento con cómputo y sin cómputo de tales beneficios penitenciarios. Contrastados tales datos con las penas previstas para los hechos en el nuevo Código penal, el Tribunal acordó, por Auto de 18 de junio de 1996, que no procedía revisar las penas impuestas al demandante con el siguiente razonamiento: “no se considera más favorable el nuevo Código cuando la duración de la pena anterior impuesta al hecho con sus circunstancias sea también imponible con arreglo al nuevo Código”, de lo que el Tribunal dedujo que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ésta por la que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hay ninguna otra resolución judicial relevante del Tribunal sentenciador en la ejecutoria hasta que, mediante la providencia de 1 de septiembre de 2006 que es objeto de esta pretensión de amparo, el Tribunal aprobó la propuesta de cumplimiento definitivo de condena del demandante realizada por el centro penitenciario en el que se encontraba en ese momento interno, fijando como nueva fecha de cumplimiento y excarcelación el 25 de octubre de 2011 (veintidós años y seis meses después de ingresar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ninguna de las resoluciones judiciales a las que se refiere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resoluciones del Juzgado de Vigilancia Penitenciaria en las que se reconoció al penado determinados días de redención de pena por el trabajo u otras actividades realizadas,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ignoren, o pongan en cuestión la firmeza e intangibilidad de lo decidido en los Autos del Juzgado de Vigilancia Penitenciaria. La providencia que fijó la fecha de licenciamiento definitivo (y el Auto que la ratificó) no dejó sin efecto dichas redenciones sino que, en ejercicio de las competencias que legalmente tiene atribuidas, las computó sucesivamente sobre las dos penas impuestas a efectos de liquidación de condena. El efecto práctico, como ya se ha dicho, es que las penas que sumaban treinta y cinco años de privación de libertad, a las que se había fijado un límite máximo de cumplimiento de treinta años, han sido dadas por extinguidas a los veintiún años y seis meses de ingresar el penado en prisión preventiva por estas causas (en abril de 1989). Por tanto, las redenciones sí han sido tomadas en consideración y han reducido su condena, aunque no en la forma propuesta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acumulación de condenas y fijación del límite máximo de cumplimiento de 20 de octubre de 1993, que cita el Ministerio Fiscal como resolución intangible que ha sido ilegítimamente desconocida, se limita a hacer efectiva la previsión legal (arts. 988 LECrim y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aludió en el recurso de súplica del penado al Auto de 18 de junio de 1996 por el que se acordó no haber lugar a la revisión de las penas impuestas por considerar que, dados los hechos enjuiciados y las penas que le habían sido impuestas, no eran más favorables las previsiones punitivas del Código penal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en el fallo de dicha resolución se realiza pronunciamiento alguno acerca del criterio de cómputo de las redenciones (porque no era éste su objeto), ni de su fundamentación jurídica antes transcrita en relación con los antecedentes de hecho puede concluirse que la decisión de no revisar las condenas se sustentara de manera clara en un determinado criterio de cómputo de las redenciones que resulte determinante o decisivo para considerar o no más favorable 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ni existe vulneración del derecho a la tutela judicial efectiva en su vertiente de intangibilidad de las resoluciones judiciales firmes (art. 24.1 CE) ni, tampoco por esta causa, vulneración del derecho a la libertad personal (art. 17.1 CE).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misma suerte desestimatoria debe seguir la queja plasmada en el último motivo de amparo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luego, no puede el interno alegar tal efecto en su caso, pues la simple lectura de las actuaciones que aporta con la demanda pone de relieve que las penas que le fueron impuestas sumaban treinta y cinco años de privación de libertad y su licenciamiento definitivo ha sido fijado para una fecha en la que llevará extinguidos algo más de veintiún años de privación efectiva de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Cándido Zubikarai Badiola.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1403-2007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debo explicitar mi desacuerdo con los fundamentos y el fallo de la presente Sentencia, de la que he sido Ponente y es en esa condición en la que recojo en ella una opinión mayoritaria contraria a mi criterio. En cuanto a los motivos de mi desacuerdo me remito a la opinión discrepante que he dejado expresada en el recurso de amparo avocado núm. 7325-2006, donde razono mi convencimiento de que en este asunto se han vulnerado los derechos fundamentales reconocidos al recurrente por los arts. 17.1 y 25.1 CE, lo que debería haber llevado a este Tribunal a otorgar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Auto cuya intangibilidad se analiza en esta Sentencia es de contenido análogo al que fue objeto de enjuiciamiento en el recurso de amparo avocado núm. 7325-2006, proceso en el que formulé Voto discrepante fundado en criterios interpretativos plenamente extensibles a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el recurso de amparo núm. 1403-2007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emite el Magistrado don Luis Ignacio Ortega Álvarez con relación a la Sentencia dictada en el recurso de amparo avocado al Pleno núm. 1403-2007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y el fallo del Auto cuya intangibilidad se analiza en esta Sentencia son de redacción idéntica a los examinados en el recurso de amparo avocado al Pleno núm. 7325-2006, sobre la que formulé Voto particular disidente, cuyo contenido interpretativo de la ratio decidendi del mismo, así como los criterios de convencimiento sobre la corrección de la interpretación de dicha ratio decidendi, son trasladables a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