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2516-2010, promovido por don Jorge González Endemaño, representado por el Procurador de los Tribunales don José Javier Cuevas Rivas y asistido por la Abogada doña Haizea Ziluaga Larreategi, contra el Auto de 21 de enero de 2010 de la Sala Segunda del Tribunal Supremo y contra los Autos de 29 de junio y 6 de mayo de 2009 dictados por la Sección Tercera de la Sala de lo Penal de la Audiencia Nacional. Ha intervenido el Ministerio Fiscal.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marzo de 2010, el Procurador de los Tribunales don José Javier Cuevas Rivas, en nombre y representación de don Jorge González Endemaño,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González Endemaño fue condenado por la Sala de lo Penal de la Audiencia Nacional, Sección Tercera, mediante Sentencia de 14 de julio de 1998 (rollo de Sala 56-1995, sumario 54-1995 del Juzgado Central de Instrucción núm. 4), en calidad de autor de los delitos de atentado en relación con el de asesinato, de asesinato frustrado y de tenencia ilícita de armas a las penas de treinta, veinte y tres años de prisión, respectivamente, afirmándose en su fundamento de Derecho primero que la legislación más favorable es la del Código penal (CP) de 1973 porque “imponiendo penas muy similares al del actualmente vigente, sin embargo permite una reducción muy sensible de las mismas por medio de las reducciones ordinarias y extraordinarias que regula”. El señor González Endemaño fue condenado también, por Sentencia de la misma Sala y Sección de la Audiencia Nacional de 3 de diciembre de 2001 (rollo de Sala 84-1996, Sumario 70-1996 del Juzgado Central de Instrucción núm. 4), como autor de los delitos de integración en banda armada, de depósito de armas y de tenencia de explosivos a la penas de diez, siete y siete años de prisión,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Juez de vigilancia penitenciaria núm. 1 de Andalucía suscribió liquidación de condena de fecha 8 de noviembre de 2001, en la que se aprueba una propuesta de redención de penas por el trabajo, sin indicar si esa reducción se aplicará al límite de cumplimiento o a cada una de las penas. Posteriormente, la Sección Tercera de la Sala de lo Penal de la Audiencia Nacional, luego de rectificar un error material en la suma de las condenas impuestas por la segunda Sentencia (veinticuatro años), aprueba liquidación de condena de fecha 10 de diciembre de 2002 en la que se indica que dichas penas comenzarán a cumplirse el 8 de enero de 2025 y, en consecuencia, su cumplimiento será el 1 de enero de 2049, acusando recibo de esa liquidación el Director del centro penitenciario mediante escrito de 9 de enero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recibido el 11 de febrero de 2009 el interno Jorge González Endemaño interesa de la Sala la determinación del límite máximo de treinta años de cumplimiento de las penas impuestas en las Sentencias condenatorias referidas ut supra. La Sala de lo Penal de la Audiencia Nacional, Sección Tercera, acordó por Auto de 6 de mayo de 2009 “[a]cumular todas las penas de prisión impuestas en las Sentencias dictadas por esta Sección Tercera nº 31/98, de 14 de julio (Ejec. 27/01), y nº 29/01, de 3 de diciembre (Ejec. 30/02), relacionadas en los antecedentes de esta resolución para su cumplimiento sucesivo por el penado, con la limitación del máximo de cumplimiento de treinta años de prisión y con sujeción a lo expresado en el precedente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este Auto se formuló recurso de súplica, desestimado por Auto de la misma Sala y Sección de 29 de junio de 2009. A su vez contra este otro Auto se dedujo recurso de casación, inadmitido por Auto de 21 de enero de 2010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los siete motivos o quejas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las libertades fundamentales (CEDH) y por el art. 14.1 y 5 del Pacto internacional de derechos civiles y políticos (PIDCP), todo ello en relación con el derecho a la libertad (art. 17 CE). Sostiene el recurrente que la Audiencia Nacional acordó en las resoluciones impugnadas la aplicación de la nueva doctrina de la Sala de lo Penal del Tribunal Supremo sentada en la Sentencia núm. 197/2006, de 20 de febrero, que establece un nuevo criterio en cuanto al cómputo de las redenciones por trabajo que empeoraba la situación del reo y obliga al cumplimiento íntegro de la condena de treinta años, decisión de la que el recurrente no ha podido defenderse ni someterla 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 amparo se aduce la vulneración del principio de legalidad (art. 25 CE, en relación con el art. 9.3 CE), por la interpretación realizada por la Audiencia Nacional de los arts. 70.2 y 100 CP 1973, así como de los arts. 66 del reglamento de prisiones de 1956 y del art. 202 del reglamento penitenciario actual. Según el recurrente la interpretación sentada por la Sala de lo Penal del Tribunal Supremo en su Sentencia núm. 197/2006, de 20 de febrero, y aplicada en el presente caso por la Audiencia Nacional,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motivo de amparo denuncia el recurrente la vulneración del derecho a la tutela judicial efectiva sin indefensión (art. 24.1 CE), en cuanto garantiza la intangibilidad de las resoluciones judiciales firmes, en relación con el derecho a la libertad (art. 17.1 CE). Sostiene el recurrente que la nueva interpretación del cómputo de las redenciones sobre la totalidad de la condena que realiza la Sala de lo Penal del Tribunal Supremo en su Sentencia núm. 197/2006, de 28 de febrero, aplicada en su caso por la Audiencia Nacional en las resoluciones impugnadas en amparo, le genera indefensión e inseguridad jurídica, puesto que las redenciones aprobadas por los Juzgados de Vigilancia Penitenciaria (en su caso, el Auto de 8 de noviembre de 2001 del Juez de vigilancia penitenciaria núm. 1 de Andalucía), intangibles y firmes, aplicadas (como se venía haciendo) al tope de treinta años, suponían una expectativa de importante acortamiento de su condena. Además, argumenta que la Sentencia de 14 de julio de 1998 de la Sala de lo Penal de la Audiencia Nacional, Sección Tercera, estableció de modo firme e intangible que las redenciones por trabajo se aplicaban a la fecha límite de cumplimiento, pues se lee en su fundamento de derecho primero que la legislación más favorable es la del Código penal de 1973 porque “imponiendo penas muy similares al del actualmente vigente, sin embargo permite una reducción muy sensible de las mismas por medio de las reducciones ordinarias y extraordinarias que regula”.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cuarto motivo de amparo se aduce la lesión del principio de legalidad (art. 25.1 CE, en relación con el art. 9.3 CE, así como el art. 7 CEDH y el art. 15 PIDCP), por aplicación retroactiva de una ley desfavorable. Se denuncia por el recurrente que las resoluciones judiciales impugnadas, al seguir el nuevo criterio establecido por la Sala de lo Penal del Tribunal Supremo en su Sentencia núm. 197/2006, de 20 de febrero, están aplicando retroactivamente el art. 78 CP 1995 a un penado bajo el Código penal de 1973, norma ésta que el recurrente considera como ley más favorable, en la medida en que las redenciones incidían sobre la liquidación de condena, acortando el tiempo de internamiento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quinto motivo de amparo se alega la lesión del derecho a la igualdad en la aplicación de la ley (art. 14 CE), en relación con el art. 14 CEDH. Denuncia el recurrente que las resoluciones judiciales impugnadas incurren en un injustificado y arbitrario cambio de criterio al aplicar la Sentencia de la Sala de lo Penal del Tribunal Supremo núm. 197/2006, de 20 de febrero, que rompe con la jurisprudencia anterior al respecto,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sexto motivo de amparo se alega la vulneración del derecho a la libertad (art. 17.1 CE), en relación con los arts. 5 y 7.1 CEDH y los arts. 9.1 y 5 y 15.1 PIDCP. Tras resaltar que, conforme a la doctrina de este Tribunal, la redención de penas por el trabajo afecta al derecho a la libertad personal, se sostiene por el recurrente, con cita del Voto particular a la Sentencia de la Sala de lo Penal del Tribunal Supremo núm. 197/2006, de 20 de febrero, que el mencionado cambio de criterio jurisprudencial contra reo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20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abril de 2011 la Sala Segunda de este Tribunal acordó la admisión a trámite de la demanda de amparo y, a tenor de lo dispuesto en el art. 51 de la Ley Orgánica del Tribunal Constitucional (LOTC), requerir atentamente a la Sección Tercera de la Sala de lo Penal de la Audiencia Nacional para que en el plazo de diez días remitiera testimonio de las ejecutorias referidas ut supra,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Segunda de 14 de junio de 2011 se tuvo por personada y parte en el procedimiento a la Procuradora doña María Esperanza Álvaro Mateo en nombre y representación de la Asociación de Víctimas del Terrorismo, y asimismo se procedió, conforme a lo establecido en el art. 52.1 LOTC, a dar vista de las actuaciones por plazo común de veinte días al Ministerio Fiscal y a las partes personadas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Asociación de Víctimas del Terrorismo presentó su escrito de alegaciones en este Tribunal el 15 de julio de 2011, oponiéndose a todos los motivos de amparo en el mismo orden que los expuso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primer término, que la acumulación de penas acordada en el Auto de 6 de mayo de 2009 fue a instancia del recurrente, formulada por él cuando ya era de público conocimiento que la Sala de lo Penal del Tribunal Supremo en su Sentencia núm. 197/2006, de 28 de febrero, había fijado un nuevo criterio sobre la aplicación de los beneficios penitenciarios, de modo que no se puede decir que no haya podido alegar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también que las resoluciones impugnadas, aun cuando interpretan los criterios para liquidar los beneficios penitenciarios de un modo menos favorable al recurrente que antes de la citada STS 197/2006, lo hacen “respetando en todo momento el derecho del penado establecido en el Código Penal a que dicho límite [el límite de 30 años de estancia en prisión] no sea superado. De esta manera las resoluciones recurridas son ajustadas a derecho y respetuosas con los principios de legalidad penal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incide en que “los autos recurridos no modifican en ningún momento el límite máximo de cumplimiento de prisión fijado en treinta años ni anula las redenciones que han sido aprobadas por los Juzgados de Vigilancia Penitenciaria, simplemente determina la forma en la que dichas redenciones deben de ser aplicadas sin contradecir resoluciones judiciales firmes. Asimismo ocurre con las sentencias por las que fue condenado el Sr. Jorge González… Dichas sentencias hablan del límite máximo de estancia en prisión del Sr. Jorge González que en ningún caso deberá exceder los treinta años, sin hablar en ningún momento de la forma en que deben de ser aplicados los beneficios penitenciarios”.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nos encontramos, sigue diciendo, “ante la aplicación con carácter retroactivo de una norma penal desfavorable, nos encontramos en todo caso ante un cambio jurisprudencial que afecta no a la aplicación de un precepto legal sino a la interpretación sobre la aplicación que debe de hacerse de los beneficios penitenciarios”.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opone a que se haya vulnerado el derecho a la igualdad ante la ley, pues “la interpretación llevada a cabo por el tribunal Supremo en su sentencia nº 197/2006 no es una interpretación ni arbitraria, ni irrazonable ni ilógica y ha sido dictada en el ejercicio de la función jurisdiccional que le corresponde sobre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fundar su oposición al motivo sexto de amparo se remite a lo argumentado en las consideraciones tercera y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por lo que hace a la alegada lesión del art. 25.2 CE, arguye que “la reinserción no es el fin único de la pena sino que debe de ser armonizado junto con otros fines como pueden ser el de protección social”. Además, si bien “es cierto que los beneficios penitenciarios están orientados a una finalidad resocializadora del interno … esa finalidad es orientativa de la forma de ejecutar la condena, no de su extensión. Ésta, la extensión de la condena, está sometida a la prohibición de tratos inhumanos o degradantes, como sería el caso de la cadena perpetua no revisable.”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su escrito de alegaciones en este Tribunal el 18 de julio de 2011, en el que ratifica las formuladas en la demanda de amparo, las cuales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en este Tribunal su escrito de alegaciones el 19 de julio de 2011, interesando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sosteniendo que el primero de los motivos de amparo recogidos en la demanda carece manifiestamente de fundamento “desde el mismo momento en que, por dos ocasiones, la representación del actor ha hecho uso efectivo de este derecho a ser oído, en primer lugar, cuando interpuso recurso de súplica contra el auto de 6 de mayo de 2009” y posteriormente cuando recurrió en casación el Auto de 29 de junio de 2009, formulando en ambas ocasiones las alegaciones que tuvo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afirma que por razones sistemáticas procede abordar el resto de motivos de modo distinto al propuesto en la demanda de amparo. Es por ello que empieza por el examen del séptimo y último motivo expuesto, relativo a la vulneración del principio de legalidad penal (art. 25.2 CE) en el enunciado relativo al carácter rehabilitador y de reinserción social que deben tener las penas señaladas en el Código Penal. En opinión del Ministerio Fiscal este motivo debe ser rechazado a limine porque el art. 25.2 CE no contiene un derecho fundamental del ciudadano susceptible de ser invocado en amparo, sino más bien un mandato destinado al legislador para orientar la política penal y penitenciaria.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el Ministerio Fiscal que los motivos segundo y cuarto tengan suficiente eficacia suasoria. De un lado, “no parece que en el caso de autos, y a los efectos de una posible vulneración del principio de legalidad (art. 25.1) la interpretación que las resoluciones judiciales ahora recurridas en amparo hacen del art. 70.2 CP 1973 en exégesis derivada de la STS (Pleno de la Sala 2ª TS)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(por todas, SSTC 151/2005, de 6 de junio y 283/2006, de 9 de octubre), sin que corresponda por ende al Tribunal Constitucional dilucidar, como acontece en el caso de autos, cuál de las posibles interpretaciones o criterios jurisprudenciales es el más adecuado a la norma en juego”. De otro, “no tiene fundamento alguno sostener que se han vulnerado dicho principio de irretroactividad de la ley penal por haber hecho aplicación del contenido del art. 78 CP1995 bajo el ropaje aparente del art. 70.2 CP1973, toda vez que el precepto que se ha aplicado ha sido siempre el art. 70.2 CP1973, de vigencia al tiempo de comisión de los hechos, y sobre el que ha recaído la interpretación sentada en la Sentencia de la Sala de lo Penal del Tribunal Supremo núm. 197/2006, de 20 de febrero, y no el art. 78 CP1995”.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la denunciada vulneración del derecho a la igualdad en la aplicación de la ley (art. 14 CE). En primer lugar, porque el órgano judicial que ha dictado las resoluciones impugnadas (la Audiencia Nacional) es distinto de aquel que sentó la doctrina supuestamente discriminatoria (el Tribunal Supremo). Y, en segundo lugar, porque en todo caso la Sentencia de la Sala Segunda del Tribunal Supremo a la que se atribuye el cambio de criterio había recogido un conjunto de razonamientos en interpretación de la legalidad aplicable al caso que, desde la perspectiva de la racionalidad, justifican dicho eventual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conjuntamente a los derechos fundamentales alegados en los motivos tercero y sexto. Afirma que “es evidente que el núcleo del problema reside en que la Sección 3ª de la Sala de lo Penal de la Audiencia Nacional asume en las resoluciones objeto de la demanda de amparo los criterios expresados por la Sala Segunda del Tribunal Supremo en su sentencia del Pleno, STS 197/2006, de 28 de febrero”. Y acto seguido que “en el presente caso no puede hablarse, a diferencia de otros similares, de la posibilidad de sustentar el amparo en la vulneración del derecho fundamental a la intangibilidad de las resoluciones judiciales (art. 24.1 CE). Ello es así por cuanto en el caso que examinamos no ha existido resolución alguna previa que determinara, vía refundición o acumulación de condenas, no sólo el tiempo máximo de cumplimiento de conformidad con la regla 2 del art. 70 del CP 1973, sino los extremos de cómputo de los beneficios de redención de penas por el trabajo que le correspondiera por cada condena impuesta. Muy al contrario el actual demandante de amparo que fue condenado en dos sentencias, de 14 de mayo de 1998 y 3 de diciembre de 2001, en dos causas diferentes, ambas por la Sección 3ª de la Sala de lo Penal de la Audiencia Nacional, a diversas penas privativas de libertad, sólo interesó la refundición y la fijación de un tiempo máximo de cumplimiento de tales penas a la luz del art. 70.2 CP 1973 en un escrito manuscrito de fecha 3 de febrero de 2009 que desencadenó las resoluciones judiciales que ahora se impugnan en amparo. Hasta ese momento sólo se habían practicado sendas liquidaciones individualizadas de condena tanto por la Secretaría de la Sala y por el Centro Penitenciario de Algeciras en el que se encontraba interno el reo. Así y tras rectificar un error el CP aludido estableció el 9 de enero de 2002 (rectius 2003) la fecha de licenciamiento definitivo de aquél en una de las causas fijándola en el 1 de enero de 2049”.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propuesta de la Sala Segunda, el Pleno, en su reunión de 13 de septiembre de 2011 y conforme al art. 10.1 n) LOTC,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recurrente presentó en este Tribunal escrito de fecha 5 de diciembre de 2011 solicitando la suspensión de los efectos de la aplicación de la Sentencia del Tribunal Supremo 197/2006, de 28 de febrero, pues a su juicio está produciendo tal perjuicio al recurrente que hace perder al amparo su finalidad. El Pleno, mediante providencia de 20 de diciembre de 2011, acordó que “no ha lugar a lo solicitado en el mismo, toda vez que la suspensión interesada se refiere a una resolución judicial (STS 197/2006, de 28 de febrero) no recurrida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marzo de 2012, se acordó señalar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21 de enero de 2010 de la Sala Segunda del Tribunal Supremo que inadmitió el recurso de casación contra el Auto de 29 de junio de 2009 de la Sección Tercera de la Sala de lo Penal de la Audiencia Nacional, que a su vez desestimó el recurso de súplica presentado contra el Auto de 6 de mayo de 2009, por el que se acordó que las penas acumuladas impuestas al demandante se cumplieran sucesivamente con la limitación del máximo de cumplimiento de treinta años de prisión, sin perjuicio de las redenciones que le pudieran ser aplicadas en su día, conforme al criterio de la Sentencia núm. 197/2006, de 28 de febrero, de la Sala Segunda del Tribunal Supremo. Según dicha Sentencia, en caso de penas acumuladas la redención de penas por el trabajo obtenida ha de computarse sobre cada una de las penas impuestas y no sobre el límite máximo de cumplimiento que pudiera haberse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un proceso con todas las garantías (art. 24.2 CE), a la legalidad de las infracciones y sanciones (art. 25.1 y 25.2 CE), a la libertad personal (art. 17.1 CE) y a la igualdad en la aplicación de la ley (art. 14 CE), con los argumentos que han sido expuestos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desestimación del recurso por las razones reseñadas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 representación procesal de la Asociación de Víctimas del Terrorismo solicita la desestimación del recurso con arreglo a las alegaciones relacionadas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primera de las quejas articuladas en la demanda, bajo la invocación de los derechos a la tutela judicial efectiva (art. 24.1 CE) y a un proceso con todas las garantías (art. 24.2 CE), se denuncia sustancialmente la indefensión generada por el hecho de que la primera de las resoluciones recurridas se adoptó sin abrir un trámite de audiencia al condenado, pese a introducir una perspectiva jurídica novedosa en el cómputo de las redenciones de penas por el trabajo que empeoraba la situación del reo. Esta queja ha de ser inadmitida, al concurrir respecto de ella el óbice procesal de falta de invocación ante los órganos de la jurisdicción ordinaria [art. 44.1 c) de la Ley Orgánica del Tribunal Constitucional]. En efecto, de la mera lectura del recurso de súplica interpuesto contra el Auto de 6 de mayo de 2009 de la Sección Tercera de la Sala de lo Penal de la Audiencia Nacional se desprende que el recurrente articuló una serie de motivos de recurso para oponerse a esa nueva perspectiva jurídica en el cómputo de las redenciones (lo que excluiría según el Ministerio Fiscal la indefensión denunciada), pero no denunció entonces indefensión alguna, trayéndose ahora per saltum en amparo.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(por todas, entre las más recientes SSTC 132/2006, de 24 de abril, FJ 3; y 7/2007,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restantes motivos se denuncia —como ya anticipamos—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si bien conforme al cómputo de las redenciones de penas por trabajo usado hasta ese momento el recurrente vería que las reducciones correspondientes al trabajo de los catorce años que van desde que entró en prisión preventiva hasta el Auto de 6 de mayo de 2009 se aplicarían al límite máximo de treinta años, en aplicación del nuevo criterio se restarían de la suma total de las penas impuestas (cincuenta y cuatro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entiende que de ello se deriva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A la vista de lo cual, hemos de comenzar precisando cuáles son los derechos fundamentales en juego y cuál ha de ser nuestro parámetro de enjuiciamiento en esta materia. No obstante, con carácter previo, conviene aclarar que no es objeto del presente recurso de amparo la Sentencia 197/2006, de 28 de febrero, dictada por la Sala Segunda del Tribunal Supremo, sino que nuestro examen se ha de limitar a la consideración de la respuesta judicial que para el caso concreto se contiene en las resoluciones recurridas, en las que se acuerda la aplicación del criterio de cómputo de las redenciones establecido con carácter previo por la citada STS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Dado que en el presente procedimiento no se impugna la Sentencia del Tribunal Supremo de 28 de febrero de 2006 no cabe entrar a examinar si ésta se ha apartado o no de sus precedentes vulnerando el art. 14 CE. Y por lo que respecta a las resoluciones impugnadas se limitan a aplicar la doctrina sentada en aquella Sentencia del Tribunal Supremo, máximo intérprete de la ley, justificando el cambio de criterio en el cómputo de las redenciones de penas por el trabajo, frente a otros supuestos resueltos con anterioridad, precisamente en la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respuesta judicial obtenida por el recurrente en las resoluciones de la Audiencia Nacional que se impugnan en el presente procedimiento de amparo vulneró su derecho a la tutela judicial efectiva (art. 24.1 CE) y como consecuencia de ello su derecho a la libertad (art. 17.1 CE), lo que —según se argumenta en los motivos de amparo tercero y sexto, fundamentalmente— habría sucedido al aplicar un nuevo criterio de cómputo de la redención de penas por el trabajo que ignora la existencia de una legítima expectativa, fundada en la previa actuación de la Administración penitenciaria y en resoluciones judiciales firmes e intangibles, de que las reducciones correspondientes al trabajo de los catorce años que van desde que entró en prisión preventiva hasta el Auto de 6 de mayo de 2009 se aplicarían al límite máximo de treinta años y no a la suma total de las penas impuestas (cincuenta y cuatro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conformado la realidad jurídica en un cierto sentido, realidad que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respuesta a la anterior cuestión ha de ser negativa pues, como veremos, el análisis del extracto de la primera Sentencia condenatoria alegado por el recurrente y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González Endemaño fue condenado en julio de 1998 en calidad de autor de los delitos de atentado en relación con el de asesinato, de asesinato frustrado y de tenencia ilícita de armas a las penas de treinta, veinte y tres años de prisión, respectivamente. En el fundamento de Derecho primero de esa Sentencia se afirmó que la legislación más favorable es la del Código penal de 1973 porque “imponiendo penas muy similares al del actualmente vigente, sin embargo permite una reducción muy sensible de las mismas por medio de las reducciones ordinarias y extraordinarias que regula”.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Fue condenado también en diciembre de 2001 como autor de los delitos de integración en banda armada, de depósito de armas y de tenencia de explosivos a la penas de diez, siete y siete años de prisión,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Juez de vigilancia penitenciaria núm. 1 de Andalucía aprobó periódicamente las propuestas de redención de los centros penitenciarios, entre ellos el auto de liquidación de condena alegado por el recurrente de 8 de noviembre de 2001, en el que se aprueba una propuesta de redención de penas por el trabajo, sin indicar si esa reducción se aplicará al límite de cumplimiento o a cada una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Tercera de la Sala de lo Penal de la Audiencia Nacional, en tiempo en que aún no se había acordado la acumulación de las penas impuestas en las dos Sentencias, y dado que las de la primera condena terminarían de cumplirse el 8 de enero de 2025, aprueba liquidación de condena de fecha 10 de diciembre de 2002 en la que se indica que el cumplimiento de las impuestas por la segunda Sentencia se producirá el 1 de enero de 2049.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recibido el 11 de febrero de 2009 el interno don Jorge González Endemaño interesa de la Sala la acumulación de las penas impuestas en ambas Sentencias y la determinación del límite máximo de treinta años de cumplimiento. La Sala de lo Penal de la Audiencia Nacional, Sección Tercera, acordó por Auto de 6 de mayo de 2009 “[a]cumular todas las penas de prisión impuestas en las Sentencias dictadas por esta Sección Tercera nº 31/98, de 14 de julio (Ejec. 27/01), y nº 29/01, de 3 de diciembre (Ejec. 30/02), relacionadas en los antecedentes de esta resolución para su cumplimiento sucesivo por el penado, con la limitación del máximo de cumplimiento de treinta años de prisión y con sujeción a lo expresado en el precedente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ninguna de las resoluciones judiciales a las que se refiere el recurrente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extracto del fundamento de derecho primero de la Sentencia de 14 julio de 1998 adviértase que, además que se pronuncia sobre la existencia de reducciones ordinarias y extraordinarias en el Código penal de 1973 pero no sobre el modo de realizar su cómputo, lo que resulta determinante es que ese pronunciamiento se realiza en un momento en que no sólo no se han acumulado las penas de la primera y segunda condena sino, aún más, dicha segunda condena ni siquiera ha recaído. En ese contexto no es posible sostener que allí se esté estableciendo, con los efectos de firmeza e intangibilidad consiguientes, el criterio de cómputo de las redenciones de pena que el recurrente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El Auto de 6 de mayo de 2009 que acordó la acumulación de las penas impuestas por ambas Sentencias y que se cumplieran conforme al criterio de cómputo fijado por la STS 197/2006 (y las resoluciones judiciales que lo ratificaron) no dejó sin efecto dichas redenciones sino que, en ejercicio de las competencias que legalmente tiene atribuidas, las computó sucesivamente sobre el conjunto de penas impuestas a efectos de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Jorge González Endemaño.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2516-2010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10718-2006.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