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16 de abril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1608-2008 promovido por el Consell de la Generalitat Valenciana contra el Real Decreto 1472/2007, de 2 de noviembre, por el que se regula la renta básica de emancipación de los jóvenes. Ha formulado alegaciones el Abogado del Estado.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27 de febrero de 2008, la Abogada General de la Generalitat de la Comunitat Valenciana, en la representación que legalmente ostenta, promueve conflicto positivo de competencia contra el Real Decreto 1472/2007, de 2 de noviembre, por el que se regula la renta básica de emancipación de los jóvenes.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positivo de competencia se fundamenta en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y acreditar el cumplimiento de los requisitos procesales para el planteamiento del conflicto, la Abogada General de la Generalitat de la Comunidad Valenciana señala, en primer lugar, que la materia en la que se incardina la regulación que cuestiona es la relativa a vivienda, en la que la Comunidad Autónoma dispone de competencia exclusiva, mientras que el Real Decreto 1472/2007 indica que el mismo se dicta al amparo de las competencias estatales sobre planificación de la actividad económica, de conformidad con lo previsto en el art. 149.1.13 CE. A este respecto recalca que nada obsta a que el Estado, al amparo de lo dispuesto en dicho título competencial, apruebe la “renta básica de emancipación de los jóvenes” con la finalidad de facilitarles el acceso a la vivienda, pero ello no le habilita para reservarse competencias de gestión por cuanto no se dan los supuestos excepcionales que justificarían la gestión centralizada de las ayudas en una materia en la que la Comunidad Autónoma ostenta títulos competenciales exclusivos. De acuerdo con la jurisprudencia constitucional en materia de subvenciones (con cita de las SSTC 13/1992 y 242/1999), debiera haberse procedido a la territorialización de las partidas presupuestarias a favor de las Comunidades Autónomas por ser éstas las competentes para gestionar la ayuda. Esta alegación se singulariza en relación a determinados preceptos respecto de los que se afirma que ponen especialmente de manifiesto la centralización de la gestión económica en el Ministerio de Vivienda, solicitándose, de forma subsidiaria, que sean declarados inconstitucionales por invadir competencias de la Comunidad Valenciana. En cuanto al art. 1 estima que el establecimiento de la ayuda debió realizarse en el marco dispuesto por la STC 13/1992 [FJ 8 b)], debiendo, por ello, reputarse inconstitucional. Al art. 3.3 a) le reprocha que no responde a una condición esencial de otorgamiento de las ayudas sino que afecta a las competencias normativas y de gestión que corresponden a la Comunidad Autónoma. El art. 4 vulneraría, en su apartado 1, las competencias autonómicas por cuanto la utilización de las técnicas de colaboración o cooperación no puede servir como cauce para despojar a la Generalitat de sus competencias de gestión. Al apartado 2 se le reprocha que trata un aspecto relativo al procedimiento de gestión de las ayudas que no resulta justificado como criterio coordinador ex art. 149.1.13 CE, lo que también sucedería con el apartado 3, relativo al modelo de solicitud de renta básica, y con el primer inciso del apartado 5 mientras que el segundo inciso de este mismo apartado 5, en cuya virtud el acto del pago se centraliza en el Ministerio de Vivienda, sería una actuación de mera ejecución administrativa que ha de inscribirse en la competencia autonómica en materia de vivienda. Esa misma competencia se entiende vulnerada por el apartado 6 del art. 4 al implicar la reserva a favor del Estado de la ordenación del pago, acto de gestión que corresponde a la Comunidad Autónoma. La competencia autonómica para la gestión de las ayudas determinaría también la inconstitucionalidad del apartado 1 del art. 7, al condicionar el ejercicio de la potestad autonómica de gestión a la firma de un convenio, así como la del art. 8 puesto que el mismo es consecuencia de la centralización injustificada en favor del Estado de la ordenación del pago de esta ayuda. En cuanto al art. 9 discute que corresponda al Estado determinar de forma unilateral el régimen de compatibilidad o incompatibilidad de la ayuda en relación con subvenciones, ayudas y beneficios fiscales que pudiera conceder la Comunidad Autónoma, mientras que a la disposición adicional segunda se le reprocha que condiciona la potestad autonómica para regular las condiciones de otorgamiento de las ayudas y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alega la vulneración de la autonomía financiera de las Comunidades Autónomas establecida en el art. 156 CE pues, según resulta de la norma impugnada, se han consignado centralizadamente los créditos a favor de un órgano estatal, que se reserva el acto de ordenación del pago de las ayudas. De esta forma se impide la gestión autonómica de subvenciones estatales en materias de su competencia, lo que supone la utilización del poder de gasto del Estado para vaciar de contenido las competencias exclusivas autonómicas, evitando la preceptiva territorialización de los fondos con arreglo a criterios objetivos de reparto o bien a través de convenios ajustados a los principios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 de abril de 2008 el Pleno del Tribunal Constitucional, a propuesta de la Sección Segunda, acordó admitir a trámite el presente conflicto; atribuir el conocimiento del presente conflicto a la Sala Primera, a la que por turno objetivo le ha correspondido; dar traslado de la demanda y documentos presentados al Gobierno de la Nación, al objeto de presentar alegaciones en el plazo de veinte días; comunicar la incoación del conflicto a la Sala de lo Contencioso-Administrativo del Tribunal Supremo, por si ante la misma estuviera impugnado o se impugnare el Real Decreto 1472/2007, en cuyo caso se suspenderá el curso del proceso hasta la decisión del conflicto, según dispone el art. 61.2 de la Ley Orgánica del Tribunal Constitucional y publicar la incoación del conflicto en el “Boletín Oficial del Estado” y en el “Diari Oficial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16 de abril de 2008 el Abogado del Estado se personó en el proceso solicitando una prórroga del plazo concedido para formular alegaciones, prórroga que le fue concedida mediante providencia de la Sala Primera de 17 de abril de 2008. El escrito de alegaciones del Abogado del Estado se registró el día 14 de mayo de 2008. En dicho escrito se opone a la demanda por las razones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alegaciones del Consell de la Generalitat valenciana el Abogado del Estado entiende que, aun cuando la demanda interesa la anulación de la totalidad de la norma, en realidad la misma admite la competencia estatal para dictar una norma sobre la renta básica de emancipación de los jóvenes y, a partir de ese reconocimiento, únicamente discute la constitucionalidad de determinados preceptos específicos que habrían invadido facultades ejecutivas autonómicas y sobre los que subsidiariamente reclama su anulación. Por ello estima que la demanda no levanta la carga de alegar y razonar la inconstitucionalidad de los preceptos del Real Decreto 1472/2007 no incluidos en la subsidiaria petición de anulación del suplico, por lo que procedería la desestimación del conflicto respecto de los no incluidos en dicha petición subsidiaria.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justifica la competencia estatal para dictar el Real Decreto 1472/2008, indicando que el carácter exclusivo de las competencias autonómicas no puede servir de fundamento para restringir las competencias exclusivas que al Estado reconoce la Constitución, de manera que los títulos competenciales estatales del art. 149.1.1 y 13 CE suponen una importante matización a la exclusividad de la competencia autonómica en materia de vivienda, de suerte que el Estado puede, con una perspectiva nacional, efectuar una programación de los recursos presupuestarios que hayan de asignarse a la promoción del derecho de todos los españoles a una vivienda digna, programación que también supone un elemento esencial de la política económica a la vista de su incidencia final en los mercados inmobiliario y de trabajo. De ese modo resulta innegable que, en un aspecto fundamental para la ordenación y planificación del sector de la vivienda, como son las ayudas al alquiler, se ha de conjugar la competencia estatal en materia de bases y coordinación de la planificación general de la actividad económica del art. 149.1.13 CE con las competencias exclusivas que han asumido las Comunidades Autónomas. De esta manera el principio de unidad económica que la Constitución y la doctrina de este Tribunal han reconocido resultaría, para el Abogado del Estado, determinante a la hora de juzgar el presente conflicto, pues caben pocas dudas de que la disposición impugnada se sitúa en la ordenación general de la economía ya que el Real Decreto 1472/2007 no es sino una medida de política económica de la que se beneficia un determinado sector de la población para fomentar el mercado inmobiliario en su modalidad de arrendamiento que actúa directamente sobre los mercados de bienes y servicios a nivel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seguidamente la doctrina constitucional en materia de subvenciones haciendo referencia a la contenida en la STC 13/1992, deteniéndose en los supuestos de las letras b) y d) de su fundamento jurídico 8, relativo, el primero, a la completa gestión autonómica, y el segundo a la gestión centralizada por el Estado y señalando que esa genérica enumeración de casos no excluye otros que pudieran derivarse de la Constitución y los Estatutos de Autonomía, en particular el que aquí se trata, en el que la gestión de la subvención se entrega a la Comunidad Autónoma, reservándose el Estado exclusivamente el acto del pago, en cuanto que esa facultad ejecutiva resulta ser necesaria para asegurar la plena efectividad de las medidas y garantizar las mismas posibilidades de obtención y disfrute por parte de sus potenciales destinatarios, evitando que se sobrepase la cuantía global de los fondos estatales destinados al sector. De esta forma la disposición impugnada encajaría en el último supuesto que relaciona el fundamento jurídico 8 de la STC 13/1992, resultando constitucionalmente admisible la regulación de las ayudas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descarta que la norma vulnere la autonomía financiera de la Comunidad Valenciana, por cuanto el Estado puede destinar fondos para el fomento de una materia aunque ésta sea de la exclusiva competencia autonómica, sin que se impida con ello el establecimiento de requisitos adicionales, peculiares o diferentes a los señalados por el Estado en las actuaciones protegidas por éste en materia de vivienda. Por tanto estima que no trata de una cuestión que ataña a la autonomía financiera, sino que es puramente competencial. Con esta última perspectiva examina los reproches que la demanda dirige específicamente contra los preceptos del Real Decreto 1472/2007 cuya anulación se suplica de forma subsidiaria. Así, en cuanto al art. 1 estima que el mismo se limita a proclamar el objetivo del real decreto de establecer una renta básica de emancipación, objetivo plenamente constitucional, según reconoce la demanda. Respecto a los arts. 3.3 a); 4, apartados 5 y 6; y 8, cuestionados todos ellos por atribuir al Ministerio de Vivienda, a través de entidades colaboradoras, la autorización de los pagos a los beneficiarios de las ayudas, estima que a los mismos les resulta de aplicación la doctrina de la STC 152/1988 a fin de asegurar la efectividad de las medidas y garantizar las mismas posibilidades de obtención y disfrute por parte de sus potenciales destinatarios en todo el territorio nacional, siendo a la vez un medio necesario para evitar que se sobrepase la cuantía global de los fondos o de los créditos que hayan de destinarse al sector. En el presente supuesto las potestades de gestión reservadas al Estado se limitan a la celebración de convenios con las entidades de crédito y a la autorización del pago de la ayuda, posibilidad cuya corrección técnica habría sido confirmada por este Tribunal en la STC 95/1986, pues con esa reserva competencial se asegura la igualdad en el disfrute por parte de los potenciales destinatarios y se evita que se sobrepase la cuantía global de los fondos destinados al sector. En cuanto a los apartados 1 y 7 del art. 4 indica que la utilización de la técnica del convenio de colaboración es irreprochable como mecanismo que integre competencias concurrentes estatales y autonómicas a lo que añade que la reserva de funciones ejecutivas al Estado resulta, en este caso, constitucionalmente admisible. En lo que respecta a los apartados 2 y 3 del art. 4 entiende que los mismos se encuentran amparados por la competencia estatal del art. 149.1.13 CE. Respecto del art. 9 estima que, tratándose de una ayuda estatal, al Estado le corresponde determinar su régimen de compatibilidad con otras ayudas o beneficios, sin perjuicio de la posibilidad autonómica de, al disciplinar las ayudas propias, especificar su incompatibilidad con ayudas o beneficios estatales. Igualmente descarta la inconstitucionalidad de la disposición adicional segunda, señalando que la referencia al necesario informe de una Comisión para el establecimiento de requisitos adicionales para la concesión de la renta básica no impide a la Comunidad Autónoma el desarrollo de las competencias propias en materia de vivienda, así como de la disposición final segunda, en tanto que el Estado dispone de competencias para dictar los preceptos cuya constitucionalidad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abril de 2012 se acordó señalar para deliberación y votación de la presente Sentencia el día 16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por el Consell de la Generalitat Valenciana frente al Real Decreto 1472/2007, de 2 de noviembre, por el que se regula la renta básica de emancipación de los jóvenes.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autonómico promotor del conflicto la disposición impugnada no respeta el orden constitucional de competencias y estaría lesionando las competencias autonómicas exclusivas en materia de vivienda. Con arreglo a esta delimitación competencial la Comunidad Autónoma entiende que el reglamento impugnado debe ser anulado en su totalidad y, subsidiariamente, deben serlo los arts. 1; 3.3 a); 4, apartados 1, 2, 3, 5 y 6; 7.1; 8; 9 y disposición adicional segunda de la norma impugnada, preceptos en los que el recurrente funda esencialmente la inconstitucionalidad del reglamento. Por su parte, el Abogado del Estado, estando de acuerdo con que el reglamento impugnado afecta a la competencia autonómica en materia de vivienda, sostiene a su vez que la ayuda establecida en el Real Decreto 1472/2007 encontraría amparo en la competencia estatal del art. 149.1.13 CE, de manera que las funciones que el Estado se reserva se justificarían en atención a la necesidad de garantizar la eficacia de las ayudas así como la igualdad de los solicitantes evitando, al mismo tiempo, que se sobrepase la cuantía global de los fondos destinados a esta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expuestos los términos de la controversia planteada entre las partes hemos de comenzar por precisar el objeto del presente conflicto. A este respecto es preciso referirse en primer lugar a los efectos que sobre el mismo han tenido las modificaciones normativas habidas durante su pendencia. Esas modificaciones han sido introducidas por los Reales Decretos 366/2009, de 20 de marzo y 1260/2010, de 8 de octubre, a los que siguió la derogación de la norma impugnada en virtud del Real Decreto-ley 20/2011, de 30 de diciembre. Tal y como dijimos en la STC 129/2010, de 29 de noviembre, FJ 2, y en la STC 36/2012, de 15 de marzo, FJ 2, ambas resolutorias también de sendos conflictos planteados frente al Real Decreto 1472/2007, las modificaciones normativas apuntadas “no inciden sobre la cuestión debatida en el presente proceso, de carácter netamente competencial y centrada en la extralimitación de las competencias estatales en la regulación de la renta básica de emancipación y la consiguiente vulneración de las competencias autonómicas, sin que resulten alterados en virtud de esas modificaciones y, finalmente, por la derogación de la disposición impugnada los términos en los que se trabó la controversia competencial sobre la que se requiere el pronunciamiento de este Tribunal.” (STC 36/2012, FJ 2). En consecuencia, los cambios normativos producidos y la derogación posterior de la disposición impugnada no han originado la desaparición del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y a pesar de que el Consell de la Generalitat Valenciana y el Abogado del Estado coinciden en el encuadre competencial del conflicto planteado, que se situaría, a su juicio en la materia de vivienda, lo cierto es que en la STC 36/2012, hemos establecido, una vez fijada la finalidad primaria del Real Decreto 1472/2007, que la renta básica de emancipación no se ubica de modo principal en la materia vivienda, “ya que ésta presenta tan sólo una relación mediata o instrumental con la misma, en la medida en que el fin primordial de facilitar el acceso a una vivienda en alquiler es el de fomentar la emancipación de un segmento determinado de la población. No se trata, por tanto, de desarrollar propia y fundamentalmente una política en materia de vivienda, fomentando de forma más intensa el alquiler” (STC 36/2012, FJ 5). En ese mismo pronunciamiento también se afirma que el “el Real Decreto cuestionado no puede tener encaje en la competencia que invoca el Estado sobre las bases y coordinación de la planificación general de la actividad económica ex art. 149.1.13 CE, en tanto que, por su escasa relevancia económica, el establecimiento de una renta básica de emancipación no supone, en sí misma considerada, una medida que incida directa y significativamente sobre la actividad económica general, según ha exigido nuestra jurisprudencia … para que pueda entrar en juego dicho título competencial del Estado” (FJ 5). Por tanto, la renta básica de emancipación ha quedado finalmente asociada de forma predominante al título competencial sobre asistencia social, ya que “según figura en el preámbulo del real decreto en cuestión, su finalidad principal es la de fomentar la emancipación de los jóvenes, removiendo los principales obstáculos con los que se encuentran para llevarla a cabo. Por ello, atendiendo a esta finalidad, podemos afirmar que el real decreto impugnado tiene conexión con el título competencial autonómico sobre asistencia social”, de lo que “podemos concluir para este caso concreto que las ayudas objeto de la controversia se conectan con mayor intensidad con la materia asistencia social, en cuanto tratan de resolver una problemática social facilitando a determinados grupos de personas con rentas reducidas la efectiva emancipación respecto de sus familias, llevando a cabo, de esta forma, una política de protección social que reduzca una tendencia negativa manifestada en el conjunto de la sociedad española”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Realizada esta delimitación competencial, la STC 36/2012 descartó que el Real Decreto 1472/2007 hubiera invadido en bloque las competencias autonómicas en materia de asistencia social. Al contrario, remitiéndose a la STC 178/2011, de 8 de noviembre, FJ 7, que resolvía un conflicto referido a subvenciones relativas al área de la asistencia social, el Tribunal entiende que, aunque las subvenciones relativas a asistencia social, competencia ésta autonómica, se incluyen en principio en el primer supuesto del FJ 8 de la STC 13/1992, es preciso considerar “incluida en la esfera de la competencia estatal la regulación de los aspectos centrales del régimen subvencional —objeto y finalidad de las ayudas, modalidad técnica de las mismas, beneficiarios y requisitos esenciales de acceso— mientras que situaremos dentro de la competencia autonómica lo atinente a su gestión, esto es, la tramitación, resolución y pago de las subvenciones, así como la regulación del procedimiento correspondiente a todos estos aspectos” (STC 36/2012, de 13 de marzo, FJ 8, con cita de la STC 178/2011, de 8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descartó en este pronunciamiento la vulneración del principio de autonomía financiera de la Comunidad Autónoma debido a la asunción por el Estado, en virtud de su potestad de gasto, de actuaciones en una materia en la que carece de competencias, y cuyo desarrollo debe corresponder a las Comunidades Autónomas. A este respecto el Tribunal recordaba su reiterada doctrina respecto de que la “facultad de gasto público, consecuencia lógica de la autonomía financiera, no es un título legitimador de la atribución de competencias (por todas, STC 95/1986, de 10 de julio, FJ 3), habiéndose precisado, con referencia a una frecuente manifestación de esta facultad de gasto, como son las subvenciones, pero con una doctrina que puede generalizarse, que el hecho de invertir fondos propios en una determinada actividad no es un título competencial propio, ni el solo hecho de financiar puede erigirse en núcleo que atraiga hacia sí toda competencia sobre los variados aspectos a que pueda dar lugar la actividad de financiación (entre otras, STC 179/1985, de 19 de diciembre, FJ 1)” (STC 36/2012,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los anteriores razonamientos y habiendo descartado la inconstitucionalidad del real decreto en su totalidad, el Tribunal analizó, en la Sentencia de referencia, el ajuste constitucional de los preceptos impugnados de forma individualizada y estimó parcialmente el conflicto positivo de competencia interpuesto en aquel caso por el Consejo de Gobierno de la Comunidad Autónoma de La Rioja, anulando en consecuencia, con el alcance determinado en el fundamento jurídico 12 de aquella Sentencia, y a los efectos que interesan al presente conflicto de competencia, los arts. 3, apartado 3 a); 4, apartados 1, 3, 5, y 6; 7; y 8; la disposición adicional segunda del Real Decreto 1472/2007, de 2 de noviembre, por el que se regula la renta básica de emancipación de los jóvenes, al entender que todos ellos habían vulnerado la competencia autonómica en materia de asistencia social. Idéntica conclusión se puede extraer por lo que hace a la lesión de la competencia exclusiva autonómica en materia de asistencia social de la Comunidad Valenciana en esta materia ex art. 49.1.24 del Estatuto de Autonomía para la Comunidad Valenciana, de modo que, en virtud del contenido del fallo de la STC 36/2012, resulta pertinente apreciar la desaparición sobrevenida del objeto de la controversia respecto de aquellos artículos que hemos entendido que vulneraban las competencias autonómicas. Por ello, debe tenerse por extinguido el conflicto en lo que respecta a todos los preceptos impugnados excepto a los arts. 1, 4.2,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impugnaciones respecto de los arts. 1, 4.2, y 9 del Real Decreto 1472/2007, han de ser también desestimadas por remisión a los razonamientos contenidos en la STC 36/2012.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impugnación del art. 1, que define qué sea la renta básica de emancipación, el fundamento jurídico 9 de la STC 36/2012, establece que “en este caso no se puede apreciar una extralimitación competencial en el precepto cuestionado, porque la referencia al carácter de ayuda directa del Estado de la renta de emancipación ha de ser entendida en el exclusivo sentido de que estas ayudas se nutren con fondos procedentes del presupuesto del Estado, y no que éste se convierta en el eje central de dichas ayudas. Ya hemos dicho anteriormente que el Estado puede asignar fondos públicos de sus presupuestos a cualquier finalidad lícita, incluso aunque implique la financiación de acciones de fomento en materias de competencia exclusiva de las Comunidades Autónomas, pudiendo, en tales casos, fijar el destino o finalidad de política social o económica a que se deban dedicar los fondos (SSTC 13/1992, FJ 7, y 202/1992, FJ 6). Por tanto, queda justificado el establecimiento de las ayudas con señalamiento de la finalidad a la que se dirigen en el art. 1 del Real Decreto 1472/2007”.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sucede con la impugnación del art. 4.2, descartada tanto en la STC 36/2012, FJ 10, como en la STC 129/2010, FJ 7, en la medida en que “el establecimiento de un plazo máximo común en todo el territorio nacional puede ser concebido como criterio coordinador que no menoscaba competencia autonómica alguna, en tanto que puede resultar adecuado, en ocasiones, que el Estado establezca condiciones que garanticen una cierta homogeneidad de la gestión” (STC 36/2012, FJ 10, con cita de la STC 129/2010,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exactamente en los mismos términos, es preciso referirse al art. 9.1, párrafo segundo, al que se le achaca que declara la compatibilidad de la renta básica de emancipación con las que, en su caso, puedan establecer las Comunidades Autónomas. A este respecto, en el fundamento jurídico 11 de la STC 36/2012 (con remisión directa al fundamento jurídico 7 de la STC 129/2010), ya dijimos que no puede apreciarse la vulneración de las competencias autonómicas, toda vez que “esa declaración de compatibilidad, que no es sino una consecuencia del origen estatal de los fondos, se remite a lo que disponga la normativa autonómica, por lo que cada Comunidad Autónoma queda en libertad para decidir si las subvenciones, ayudas, o beneficios fiscales que establezca deben ser o no compatibles con la renta básica de emancipación. Ninguna vulneración se aprecia, tampoco, con respecto a los apartados 2 y 3, en los que se fijan las incompatibilidades con otras ayudas estatales y las consecuencias del incumplimiento de las condiciones y requisitos para disfrutar de las ayudas, ya que se trata de cuestiones estrechamente ligadas a la fijación de los requisitos para poder ser beneficiarios de la renta básica de emancipación, establecidos en el art. 2 del Real Decreto 1472/2007”.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sobrevenida del objeto del conflicto por lo que respecta a los arts. 3.3 a); 4.1; 4.5, segundo inciso; 4.6; 7 y 8; así como la disposición adicional segunda del Real Decreto 1472/2007, de 2 de noviembre, por el que se regula la renta básica de emancipación de los jóvenes.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abril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concurrente que formula la Magistrada doña Adela Asua Batarrita a la Sentencia dictada en el conflicto positivo de competencia núm. 1608-2008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 la Sala, presento Voto concurrente remitiéndome a lo ya manifestado en el Voto también concurrente que formulé a la STC 36/2012, de 15 de marzo.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abril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