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marzo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4364-2001, promovido por el Consejo de Gobierno de la Junta de Andalucía, se impugna el artículo único, cardinales 1 y 2, de la ley 6/2001, de 8 de mayo, de modificación del Real Decreto Legislativo 1302/1986, de 28 de junio, de evaluación de impacto ambiental.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8 de marzo de 2012,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125-2001, de 12 de julio, sobre el recurso de inconstitucionalidad que pretendía plantear el Consejo de Gobierno de la Comunidad autónoma de Andalucía en relación con la ley 6/2001, de 8 de mayo, de modificación del Real Decreto Legislativo 1302/1986, de 28 de junio, de evaluación de impacto ambiental.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Elisa Pérez Vera,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Presidenta del Consejo Consultivo de Andalucía, en la adopción del dictamen emitido por dicho órgano con carácter previo a la interposición por el Consejo de Gobierno de la Comunidad Autónoma de Andalucía del recurso de inconstitucionalidad dirigido contra la Ley 6/2001, de 8 de mayo, de modificación del Real Decreto Legislativo 1302/1986, de 28 de junio, de evaluación de impacto ambiental, lo que puede integrarse en las causas 13 y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Elisa Pérez Vera en el recurso de inconstitucionalidad núm. 4364-2001,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