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26 de marzo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diciembre de 2011, el Procurador de los Tribunales don Isacio Calleja García, en representación de don Yamid Arnobi Valencia Carmona, interpuso recurso de amparo contra el Auto dictado por la Sección Segunda de la Audiencia Provincial de Castellón, el 7 de octubre de 2011, en el rollo de apelación núm. 700-2011, que desestimó el recurso de apelación promovido contra el Auto dictado por el Juzgado de lo Penal de Vinaròs, el 3 de mayo de 2011, en el procedimiento ejecutoria 60-2005. En este último Auto se acordaba que no procedía declarar la prescripción de la pena privativa de libertad de dos años de duración impuesta mediante Sentencia de 14 de febrero de 2005, debiendo continuarse con su normal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invoca la vulneración de los arts. 24.1, 17.1 y 25.1 CE. Por medio de otrosí se solicitó la suspensión de la ejecutoria 60-2005, del Juzgado de lo Penal núm. 1 de Vinaròs, por cuanto su ejecución implicaría el ingreso en prisión del recurrente y, con ello, la pérdida de la eficacia y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27 de febrero de 2012 se admitió a trámite la demanda de amparo, se acordó la formación de pieza separada para la tramitación del incidente de suspensión, y, conforme determina el art. 56 de la Ley Orgánica de este Tribunal, se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8 de marzo de 2012, se presentó en el Registro General de este Tribunal el escrito de alegaciones de la representación del actor. En su fundamentación jurídica, aparte de reiterarse los motivos por los que se interpuso el recurso de amparo, se alega —con apoyo en la jurisprudencia del Tribunal Constitucional— la procedencia de la suspensión solicitada, basándose en que la ejecución inmediata de la condena frustraría totalmente una eventual concesión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el 12 de marzo de 2012, evacuó el trámite de alegaciones conferido, en el cual tras exponer la doctrina constitucional en torno a la suspensión de las resoluciones judiciales, y en particular de las que imponen penas privativas de libertad o de derechos, interesó —de acuerdo con lo solicitado por el recurrente— la suspensión de la pena privativa de libertad en consideración a que, de no concederse, los efectos de un eventual otorgamiento del amparo serían meramente ilusorios.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de este Tribunal, referida a este precepto, que cuando la suspensión se solicita en relación con la ejecución de resoluciones judiciales firmes y definitivas, lo más ajustado al interés general es no acceder a la misma, pues la suspensión se configura como una medida provisional de carácter excepcional y de aplicación restrictiva, dado el interés general en la efectividad de las decisiones de los poderes públicos, y, en particular, en la ejecución de las resoluciones judiciales. Lo anterior no impide, sin embargo, que la protección del interés general que subyace a la ejecución de lo juzgado deba ceder en aquellos supuestos en los que, de no acordarse la suspensión, el amparo perdería toda finalidad, lo que explica que, en principio, proceda suspender aquellos pronunciamientos judiciales que no admiten la reparación o la restitución íntegra de lo ejecutado (entre los últimos,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la improcedencia de la suspensión de la ejecución de aquellos fallos judiciales que admiten la restitución íntegra de lo ejecutado, a diferencia de aquellos otros en los que, por afectar a bienes o derechos del recurrente de imposible o muy difícil restitución a su estado anterior, procede acordarla. Esto último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tales resoluciones, ya que en dichos supuestos deben también ponderarse otras circunstancias relevantes,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caso, de acuerdo con la tesis del Ministerio Fiscal, procede estimar la pretensión de suspensión de la pena privativa de libertad solicitada. De un lado, porque su ejecución puede ocasionar al recurrente perjuicios irreparables que harían perder al amparo su finalidad, tanto por afectar al valor fundamental de la libertad como porque si se compara la duración de tales penas “con el tiempo que requiere la tramitación de un proceso de amparo como el presente, ha de concluirse que no suspender su ejecución ocasionaría un perjuicio irreparable, que privaría en parte o, incluso, en todo de eficacia a un eventual fallo estimatorio” (AATC 59/2008, de 20 de febrero, FJ 2; y 172/2008, de 23 de junio, FJ 2). Y, de otro, porque al acceder a la suspensión pretendida no se está ocasionando ninguna perturbación grave de los intereses generales ni se está afectando a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pena accesoria, de inhabilitación especial para el ejercicio del derecho de sufragio pasivo, debe seguir la suerte de la pena principal (AATC 131/2001, de 22 de mayo, FJ 2; 408/2005, de 21 de noviembre, FJ 2; y 80/2006, de 13 de marzo, FJ 2,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Conceder la suspensión solicitada en relación con la ejecución de la pena privativa de libertad de dos años de duración y de la accesoria, de inhabilitación especial para el ejercicio del derecho de sufragio pasivo, impuestas a don Yamid Arnobi Valencia Carmona en Sentencia de 14 de febrero de 2005 del Juzgado de lo Penal núm. 1 de Vinaròs.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