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16 de abril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7 de noviembre de 2011, el Procurador de los Tribunales don Ramiro Reynolds Martínez, en representación de don Fredy Oswaldo Calle Quintero, interpuso recurso de amparo contra la resolución de la Delegación del Gobierno en Madrid de 4 de junio de 2008 (expediente de expulsión núm. 280020080019178), mediante la que se impone al recurrente la sanción de expulsión del territorio nacional y prohibición de entrada durante cinco años por la comisión de una infracción grave prevista en el art. 53.1 a) de la Ley Orgánica sobre derechos y libertades de los extranjeros en España, por carecer de documentación que acreditara su estancia o residencia legal en España, así como contra la Sentencia de 8 de septiembre de 2011, dictada en apelación por la Sección Tercera de la Sala de lo Contencioso-Administrativo del Tribunal Superior de Justicia de Madrid (recurso de apelación núm. 2724-2011), mediante la cual se confirmó la dictada en primera instancia por el Juzgado de lo Contencioso-Administrativo núm. 16 de Madrid (procedimiento abreviado núm. 1143-2008), que desestimó el recurso contencioso-administrativo interpuesto por el actor contra la sanción de expulsión a la que se ha hecho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en su demanda de amparo haber sufrido diversas vulneraciones constitucionales como consecuencia, tanto de la resolución sancionadora dictada por la Administración, como de las Sentencias dictadas por el Juzgado de lo Contencioso-Administrativo y el Tribunal Superior de Justicia de Madrid en el recurso de apelación. Mediante otrosí solicita además la suspensión de la referida resolución administrativa y judiciales, en virtud del art. 56 de la Ley Orgánica del Tribunal Constitucional (LOTC), alegando, en primer término, que la ejecución del acto administrativo recurrido “haría perder al amparo su finalidad en caso de ser concedido, porque los perjuicios de carácter personal, económico y familiar serían de imposible resarcimiento”, debido a las circunstancias de arraigo familiar alegadas en la demanda que determinarían que la expulsión afectaría a la vida privada y familiar del recurrente, así como, en segundo lugar, que la ejecución del acto haría perder en gran medida la finalidad legítima del recurso al conllevar la expulsión de recurrente a su país de origen y, por consiguiente, la adopción de medidas restrictivas de derechos del actor, cuando está cuestionada la legalidad de la resolución administrativa. Además se alega que la suspensión de las resoluciones impugnadas no ocasionará perturbación grave a un interés constitucionalmente protegido ni a los derechos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 de marzo de 2012, la Sala Segunda de este Tribunal acordó admitir a trámite la demanda de amparo, así como dirigir atenta comunicación a la Sección Tercera de la Sala de lo Contencioso-Administrativo del Tribunal Superior de Justicia de Madrid y a la Delegación del Gobierno en Madrid a fin de que, en plazo que no exceda de diez días, remita certificación o fotocopia adverada de las actuaciones correspondientes al rollo de apelación 2724-2011 y al expediente de expulsión núm. 280020080019178, respectivamente. Asimismo se dirige comunicación al Juzgado de lo Contencioso-Administrativo núm. 16 de Madrid para que remita certificación o fotocopia adverada de las actuaciones correspondientes al procedimiento abreviado 1143-2008, debiendo emplazar previamente a quienes hubiesen sido parte en el procedimiento, excepto a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esa misma fecha la Sala Segunda acordó la formación de la oportuna pieza separada para la tramitación del incidente sobre la suspensión solicitada, concediendo, de conformidad con el art. 56 LOTC, un plazo común de tres días a las partes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9 de marzo de 2012, la representación procesal del recurrente formuló sus alegaciones, en las que, tras invocar los argumentos vertidos por este Tribunal en los AATC 82/1999, de 12 de abril, y 356/2008, de 10 de noviembre, reitera la solicitud de suspensión, apoyándola en los argumentos ya expuestos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el 15 de marzo de 2012 su escrito de alegaciones, en el que interesa se acceda a la solicitud de suspensión por entender que, conforme a lo razonado en los AATC 82/1999, de 12 de abril, FJ 2; 356/2008, de 10 de noviembre, FJ único; y 156/2010, de 15 de noviembre, FJ único, la ejecución de la sanción haría perder al amparo su finalidad, toda vez que los perjuicios de carácter personal, económico y familiar derivados de dicha ejecución serían de imposible resarcimiento en caso de estimarse el recurso de amparo. Además alega que no parece que una suspensión de la resolución judicial recurrida pueda originar una perturbación grave de los intereses generales ni de los derechos fundamentales o libertades públicas de un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como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expulsión de extranjeros del territorio nacional, este Tribunal ha señalado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(ATC 82/1999, de 12 de abril, FJ 2)” (ATC 356/2008, de 10 de noviembre, FJ único; y 156/2010, de 15 de noviembre,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en aplicación de lo expuesto, y conforme también solicita el Ministerio Fiscal, resulta procedente acordar la suspensión de la expulsión del territorio nacional del recurrente y la prohibición de entrada durante cinco años en España, atendiendo al conjunto de sus circunstancias personales, toda vez que tampoco cabe apreciar que dicha suspensión pueda originar una perturbación grave de los intereses generales ni de los derechos fundamentales o libertades públicas de un tercero (ATC 356/2008).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resolución de la Delegación del Gobierno en Madrid de 4 de junio de 2008 (expediente de expulsión núm. 280020080019178), que impone al recurrente la sanción de expulsión del territorio nacional y prohibición de entrada durante cinco años, así como de las Sentencias de 19 de noviembre de 2010 del Juzgado de lo Contencioso- Administrativo núm. 16 de Madrid (procedimiento abreviado núm. 1143-2008), y de 8 de septiembre de 2011, dictada en apelación por la Sección Tercera de la Sala de lo Contencioso-Administrativo del Tribunal Superior de Justicia de Madrid de 8 de septiembre de 2011 (recurso de apelación núm. 2724-2011), que confirmó la anterior.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