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7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septiembre de 2009, el Procurador de los Tribunales don José Javier Cuevas Rivas, en nombre y representación de don Juan María Gabirondo Agote, y bajo la dirección de la Letrada doña Ainhoa Baglietto Gabilondo, interpuso recurso de amparo contra el Auto de la Sección Segunda de la Sala de lo Penal de la Audiencia Nacional de 17 de julio de 2009, dictado en la ejecutoria núm. 67-1990, por el que se desestima el recurso de súplica interpuesto contra el Auto de 24 de abril de 2009, en la que se aprueba fecha para licenciamiento definitivo.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 las resoluciones judiciales impugnadas. A esos efectos, se expone que en dichas resoluciones, al haberse aplicado la doctrina establecida en la Sentencia de la Sala Segunda del Tribunal Supremo núm. 197/2006, de 28 de febrero, se ha retrasado el licenciamiento definitivo en varios años, por lo que su ejecución ocasionaría un perjuicio al recurrente que haría al amparo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26 de marzo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en este Tribunal el 26 de abril de 2012, presentó alegaciones en las que, enunciando la jurisprudencia de este Tribunal sobre el particular, interesó que se denegara la suspensión solicitada, argumentando, por un lado, la gravedad de las penas impuestas cuya fecha de cumplimiento es el objeto del recurso de amparo y la lejanía del tiempo de cumplimiento definitivo fijado en las resoluciones impugnadas y, por otro, la circunstancia de que la suspensión determinaría la puesta en libertad del recurrente lo que supondría, al menos parcialmente, un otorgamiento anticipado.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por escrito registrado en este Tribunal el 16 de abril de 2012, presentó alegaciones insistiendo en la necesidad de la suspensión de las resoluciones impugnadas por los graves perjuicios que supone el mantenimiento en prisión, toda vez que se ha acordado nueva fecha de licenciamiento definitivo para el 28 de abril de 2016, en vez de la anteriormente fijada de 23 de julio de 2008.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56.1 de la Ley Orgánica del Tribunal Constitucional dispone que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que no se produzca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ya ha reiterado que en casos como el presente en que se solicita la suspensión de la ejecución de las resoluciones judiciales por las que se aprueba la fecha de licenciamiento definitivo en aplicación de la doctrina establecida en la Sentencia de la Sala Segunda del Tribunal Supremo núm. 197/2006, de 28 de febrero, no resulta procedente la puesta cautelar en libertad del recurrente por implicar una perturbación grave de los intereses generales, y, en concreto, del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ATC 206/2010, de 30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y tal como señala el Ministerio Fiscal, la solicitud de la suspensión debe ser rechazada, ya que se trata del cumplimiento de penas graves cuyo límite se ha establecido en treinta años y su concesión supondría la puesta en libertad del recurrente y, con ello, un parcial otorgamiento anticipado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8136-2009.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