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julio de 2010, la Procuradora de los Tribunales doña María Jesús Mateos Herranz, en nombre y representación de don Antonio Muñiz García, don Rafael Muñiz García y Hermanos Muñiz de Ayamonte, S.L., interpuso recurso de amparo contra la Sentencia de 29 de enero de 2010 dictada por la Sección Segunda de la Audiencia Provincial de Huelva, que estimó en parte el recurso de apelación interpuesto contra la Sentencia de 20 de febrero de 2009 dictada por el Juzgado de lo Penal núm. 4 de Huelva en el procedimiento abreviado núm. 221-2008. Asimismo, el recurso de amparo impugna el Auto de la Sala de 3 de mayo de 2010, que desestima el incidente de nulidad promovido contra la Sentencia recaída en apelación y suprime el párrafo 1 del epígrafe 4.4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Sentencia de 20 de febrero de 2009 el Juzgado de lo Penal núm. 4 de Huelva absuelve a los recurrentes del delito contra los derechos de los trabajadores, en concurso con un delito de lesiones por imprudencia grave, por el que venían siendo acusados.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de apelación, por Sentencia de 29 de enero de 2010 la Audiencia Provincial de Huelva (Sección Segunda) condenó a los recurrentes como autores de un delito contra los derechos de los trabajadores [art. 316 del Código penal (CP)] en concurso con una falta de lesiones por imprudencia (art. 621.3 CP), consistente en penas de prisión, según los distintos responsables, de nueve meses y multa de nueve meses a razón de diez euros diarios o apremio personal subsidiario de un día por cada dos cuotas en caso de impago e insolvencia, y a las penas accesorias de inhabilitación especial por tiempo de nueve meses para el ejercicio, tanto personal como a través de su condición de administrador de una persona jurídica, de la actividad empresarial de la construcción, y por la falta, pena de veinte días de multa con una cuota diaria de diez euros o apremio personal subsidiario de un día por cada dos cuotas en caso de impago o insolvencia.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dicha Sentencia los condenados interpusieron incidente de nulidad de actuaciones, que fue inadmitido por providencia de 3 de mayo de la Audiencia Provincial de Huelva.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consideran que se han vulnerado sus derechos a un proceso con todas las garantías (art. 24.2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otrosí, los recurrentes solicitaban la suspensión de la ejecución de la Sentencia de 29 de enero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marzo de 2012, dictada por la Sala Segunda del Tribunal Constitucional, se acordó admitir a trámite la demanda. Por otra providencia de esa misma fecha, la Sala acordó formar la correspondiente pieza separada de suspensión según lo solicitado por el demandante y, de conformidad con lo prevenido en el art. 56 de la Ley Orgánica del Tribunal Constitucional, conceder un plazo común de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trámite de alegaciones mediante escrito registrado en este Tribunal con fecha de 17 de abril de 2012 en el que interesó la estimación de la solicitud de suspensión formalizada por la parte demandante en lo relativo a la pena privativa de libertad impuesta en la Sentencia recurrida, debiéndose extender dicha suspensión a la pena accesoria de inhabilitación.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por su parte, presentó escrito de alegaciones el 10 de abril de 2012, insistiendo en los argumentos expresados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en la redacción dada por la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este Tribunal, entre otros muchos, en los AATC 116/2008, de 28 de abril; 25/2009, de 26 de enero, y 145/2010, de 18 de octubre,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lo cual sucede en las condenas a penas privativas de libertad (AATC 155/2002, de 16 de septiembre, FJ 3; y 9/2003, de 20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supuesto que aquí se examina de la doctrina referida obliga a considerar que, si se compara la duración de la pena privativa de libertad impuesta a los demandantes con el tiempo que requiere normalmente la tramitación de un proceso de amparo como el presente, no suspender su ejecución ocasionaría a aquél un perjuicio irreparable que dejaría totalmente en entredicho la eficacia de un eventual fallo estimatorio de la demanda de amparo, por cuanto la pena de prisión podría ya estar cumplida al menos en gran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atendidas las circunstancias concurrentes en el caso, no se aprecia que acceder a la suspensión solicitada genere una lesión específica y grave de los intereses generales —más allá de aquella que de por sí produce la no ejecución de un fallo judicial—, ni de derechos fundamentales o libertades públicas de terceros, mientras que en el supuesto contrario sí se irrogarían al recurrente perjuicios de muy difícil o imposible reparación. Por todo ello, en aplicación del principio de proporcionalidad, se entiende procedente acordar la suspensión de la pena privativa de libertad impuesta en la Sentencia recurrida, debiéndose extender dicha suspensión a la pena accesoria de inhabilitación.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no procede la suspensión del resto de pronunciamientos condenatorios que contiene la Sentencia antedicha, puesto que no se argumenta ningún perjuicio irreparable que pudiera provocar su ejecución, y ha de alegarse la bien conocida doctrina de que las resoluciones judiciales con efectos meramente patrimoniales por lo general no causan perjuicios irremediables, por más que puedan producir efectos desfavorables a quien demanda el amparo, ya que su reparación posterior, en caso de estimarse éste, es meramente económica y por ello no dificultosa (ATC 12/2012, de 30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en fin, la suspensión de la responsabilidad subsidiaria para el caso de impago de la pena de multa, al tratarse de una eventualidad incierta que depende de que la multa no llegase a ser pagada, voluntariamente o por la vía de apremio, y en cualquier caso de una eventualidad futura que, en caso de sobrevenir, podría dar lugar a la modificación de la medida cautelar que ahora se adopta, en virtud del art. 57 LOTC (ATC 53/2009, de 23 de febrero).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Conceder la suspensión solicitada en lo que se refiere a las penas privativas de libertad de nueve meses de prisión impuestas a los recurrentes en la Sentencia de 17 de abril de 2012 dictada por la Sección Segunda de la Audiencia Provincial de Huelva.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Denegar la suspensión de los restantes pronunciamientos.</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