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abril de 2009, el Procurador de los Tribunales don Javier Cuevas Rivas, en nombre y representación de don Ignacio Pujana Alberdi, y bajo la dirección del Letrado don Iker Urbina Fernández, interpuso recurso de amparo contra el Auto de la Sección Tercera de la Sala de lo Penal de la Audiencia Nacional de 17 de marzo de 2009, dictado en la ejecutoria núm. 32-1993, por el que se desestima el recurso de súplica interpuesto contra la providencia de 16 de febrero de 2009 por la que se acuerda fijar como fecha de licenciamiento definitivo del recurrente el día 28 de junio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23 de febrero de 2009, conforme propuso el centro penitenciario en el que cumple condena, por lo que las resoluciones impugnadas, al rechazar la propuesta del centro y fijar el día 28 de junio de 2021 como fecha de licenciamiento definitivo, conforme a la doctrina de la citada Sentencia, han retrasado su puesta en libertad doce años, con lo que la ejecución de las resoluciones impugnadas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20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3 de abril de 2012, presentó alegaciones reiterando su solicitud de suspensión de las resoluciones impugnadas por los graves perjuicios que supone el mantenimiento en prisión, toda vez que ya ha transcurrido más de tres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4017-2009.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