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junio de 2009, el Procurador de los Tribunales don Javier Cuevas Rivas, en nombre y representación de doña Miren Maitane Sagastume Arrieta, y bajo la dirección de la Letrada doña Arantxa Aparicio Lopetegui, interpuso recurso de amparo contra el Auto de la Sección Segunda de la Sala de lo Penal de la Audiencia Nacional de 24 de abril de 2009, dictado en la ejecutoria núm. 85-1996, por el que se desestima el recurso de súplica interpuesto contra la providencia de 2 de marzo de 2009 por la que se acuerda fijar como fecha de licenciamiento definitivo de la recurrente el día 12 de agosto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 la recurrente habría tenido lugar el día 26 de julio de 2009, por lo que las resoluciones impugnadas, al fijar el día 28 de junio de 2021 como fecha de licenciamiento definitivo, conforme a la doctrina de la citada Sentencia, han retrasado su puesta en libertad doce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23 de abril de 2012, presentó alegaciones en las que, con cita de la doctrina de este Tribunal sobre el particular, interesó que se denegara la suspensión solicitada, dada la gravedad de las penas impuestas a la recurrente, la lejanía del tiempo de cumplimiento definitivo y la circunstancia de que la suspensión determinaría la puesta en libertad de la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el 3 de abril de 2012, presentó alegaciones reiterando su solicitud de suspensión de las resoluciones impugnadas por los graves perjuicios que supone el mantenimiento en prisión, lo que determina que el amparo pierda su finalidad, toda vez que ya han transcurrido más de dos años y medio desde que se superó la fecha del licenciamiento definitivo que le corresponde conforme a la jurisprudencia anterior a la Sentencia de la Sala de lo Penal del Tribunal Supremo núm. 197/2006,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personado el Abogado del Estado en el presente recurso de amparo, por diligencia de ordenación del Secretario de Justicia de la Sala Primera de 3 de mayo de 2012 se le concedió plazo de tres días para que alegase lo que estimase pertinente sobre la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9 de mayo de 2012 presentó sus alegaciones el Abogado del Estado, en las que, con cita de la reiterada doctrina de este Tribunal en asuntos similares, interesó que se denegara la suspensión solicitada, por las mismas razones que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Transcurrido ya el plazo conferido mediante la providencia de 26 de marzo de 2012, la recurrente, por escrito registrado el 9 de mayo de 2012, presentó nuevo escrito de alegaciones en la presente pieza separada, reiterando su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tal como interesan el Ministerio Fiscal y el Abogado del Estado, la solicitud de suspensión debe ser rechazada, ya que se trata del cumplimiento de penas graves cuyo límite se ha establecido en treinta años y su concesión supondría la puesta en libertad de la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5499-2009.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