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92</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21 de mayo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julio de 2009, el Procurador de los Tribunales don Javier Cuevas Rivas, en nombre y representación de don Bautista Barandalla Iriarte, y bajo la dirección de la Letrada doña Amaia Izko Aramendia, interpuso recurso de amparo contra el Auto de la Sección Tercera de la Sala de lo Penal de la Audiencia Nacional de 29 de mayo de 2009, dictado en la ejecutoria núm. 36-1992, por el que se desestima el recurso de súplica interpuesto contra el Auto de 8 de mayo de 2009, por el que se acuerda fijar como fecha de licenciamiento definitivo del recurrente el día 12 de septiembre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ejecución de las resoluciones judiciales impugnadas. A esos efectos se expone que si se aplica la jurisprudencia anterior a la doctrina establecida en la Sentencia de la Sala de lo Penal del Tribunal Supremo núm. 197/2006, de 28 de febrero, el licenciamiento definitivo del recurrente habría tenido lugar el día 30 de junio de 2009, conforme propuso el centro penitenciario en el que cumple condena, por lo que las resoluciones impugnadas, al rechazar la propuesta del centro y fijar el día 12 de septiembre de 2020 como fecha de licenciamiento definitivo, conforme a la doctrina de la citada Sentencia, han retrasado su puesta en libertad once años, con lo que la ejecución de las resoluciones impugnadas ocasionaría un perjuicio al recurrente que haría al amparo perder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por sendas providencias de 26 de marzo de 2012,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en este Tribunal el 20 de abril de 2012, presentó alegaciones en las que, con cita de la doctrina de este Tribunal sobre el particular, interesó que se denegara la suspensión solicitada, dada la gravedad de las penas impuestas al recurrente, la lejanía del tiempo de cumplimiento definitivo y la circunstancia de que la suspensión determinaría la puesta en libertad del recurrente, lo que supondría, al menos parcialmente, un otorgamiento anticipado del amparo, lo que desnaturalizaría el carácter cautelar de la medida.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por escrito registrado el 16 de abril de 2012 en este Tribunal, presentó alegaciones reiterando su solicitud de suspensión de las resoluciones impugnadas en la parte correspondiente a la aplicación de los once años de condena en que se ha retrasado el licenciamiento definitivo, por los graves perjuicios que supone el cumplimiento de la pena privativa de libertad cuestionada, a lo que añade que la suspensión solicitada no supone perturbación grave de los intereses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Habiéndose personado en las actuaciones principales la Procuradora doña María Esperanza Álvaro Mateo, en representación de la Asociación Víctimas del Terrorismo, por diligencia de ordenación de 3 de mayo de 2012 se acordó conceder a esta parte el plazo de tres días para que formulase alegaciones en relación con la petición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Asociación Víctimas del Terrorismo, por escrito registrado en este Tribunal el 9 de mayo de 2012, presentó alegaciones en las que se opuso a la suspensión solicitada por los mismos argumentos contenidos en el ATC 17/2008, de 21 de enero.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56.2 de la Ley Orgánica del Tribunal Constitucional dispone que la Sala que conozca de un recurso de amparo acordará la suspensión de la ejecución del acto de los poderes públicos por razón del cual se reclame el amparo cuando dicha ejecución, caso de llevarse a cabo, “produzca un perjuicio al recurrente que pudiera hacer perder al amparo su finalidad”, consagrándose, en el segundo inciso de dicho precepto, un límite a esa facultad, pues queda condicionada a que “la suspensión no ocasione perturbación grave a un interés constitucionalmente protegido, ni a los derechos fundamentales o libertades de otra persona”. De ello deriva, como regla general, que la admisión del amparo no conlleva la suspensión de la ejecución de los actos recurridos, ni siquiera en el supuesto expresamente previsto de la pérdida de finalidad del amparo, dado que la suspensión se condiciona a que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ya ha reiterado que en casos como el presente en que se solicita la suspensión de la ejecución de las resoluciones judiciales relativas a la aprobación del licenciamiento definitivo en aplicación de la doctrina establecida en la Sentencia de la Sala de lo Penal del Tribunal Supremo núm. 197/2006, de 28 de febrero, no resulta procedente la puesta cautelar en libertad del recurrente por implicar una perturbación grave de un interés constitucionalmente protegido como lo es el legítimo interés público en el cumplimiento de las penas, en 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AATC 206/2010, de 30 de diciembre, 3/2011, de 14 de febrero, y 25/2012, de 31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la solicitud de suspensión debe ser rechazada, ya que se trata del cumplimiento de penas graves cuyo límite se ha establecido en treinta años y su concesión supondría la puesta en libertad del recurrente y, con ello, un parcial otorgamiento anticipado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el recurso de amparo núm. 6666-2009.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