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septiembre de 2009, el Procurador de los Tribunales don Javier Cuevas Rivas, en nombre y representación de don Ignacio Orotegui Ochandorena, y bajo la dirección de la Letrada doña Ainhoa Baglietto, interpuso recurso de amparo contra el Auto de la Sección Segunda de la Sala de lo Penal de la Audiencia Nacional de 12 de diciembre de 2008, dictado en la ejecutoria núm. 8-1989, por el que se desestima el recurso de súplica interpuesto contra la providencia de 20 de octubre de 2008, por la que se declara que procede estar a lo acordado en el Auto de 20 de noviembre de 2006, manteniéndose el licenciamiento definitivo del recurrente el día 19 de diciembre de 2016, así como contra el Auto de la Sala de lo Penal del Tribunal Supremo de 25 de junio de 2009, por el que se acuerda no haber lugar a la admisión del recurso de casación núm. 10306-2009, interpuesto contra el referido Auto de la Audiencia Nacional y contra la providencia de 30 de julio de 2009 que no admitió a trámite el incidente de nulidad de actuaciones promovido.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del recurrente habría tenido lugar el día 17 de diciembre de 2008, conforme propuso el centro penitenciario en el que cumple condena, por lo que las resoluciones impugnadas, al rechazar la propuesta del centro y fijar el día 19 de diciembre de 2016 como fecha de licenciamiento definitivo, conforme a la doctrina de la mencionada Sentencia, han retrasado su puesta en libertad ocho años, con lo que la ejecución de las resoluciones impugnadas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en este Tribunal el 26 de abril de 2012, presentó alegaciones en las que, con cita de la doctrina de este Tribunal sobre el particular,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en este Tribunal el 16 de abril de 2012, presentó alegaciones reiterando su solicitud de suspensión de las resoluciones impugnadas por los graves perjuicios que supone el mantenimiento en prisión, toda vez que ya han transcurrido más de tres años desde que se superó la fecha del licenciamiento definitivo propuesto por el centro penitenciario y rechazado por las resoluciones recurridas en amparo, a lo que añade que la suspensión solicitada no supone perturbación grave de los intereses generales.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y tal como interesa el Ministerio Fiscal,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7814-2009.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