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2010, el Procurador de los Tribunales don Javier Cuevas Rivas, en nombre y representación de don Iñigo Acaiturri Irazábal, y bajo la dirección del Letrado don Alfonso Zenón Castro, interpuso recurso de amparo contra el Auto de la Sección Segunda de la Sala de lo Penal de la Audiencia Nacional de 26 de marzo de 2010, dictado en la ejecutoria núm. 61-1993, por el que se acuerda fijar el licenciamiento definitivo del recurrente el día 7 de febrero de 2021, así como contra el Auto de la Sala de lo Penal del Tribunal Supremo de 21 de septiembre de 2010, por el que se acuerda no haber lugar a la admisión del recurso de casación núm. 10613-2010, interpuesto contra el referido Auto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15 de abril de 2010, conforme propuso el centro penitenciario en el que cumple condena, por lo que las resoluciones impugnadas, al rechazar la propuesta del centro y fijar el día 7 de febrero de 2021 como fecha de licenciamiento definitivo, conforme a la doctrina de la mencionada Sentencia, han retrasado su puesta en libertad once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18 de abril de 2012, presentó alegaciones en las que, con cita de la doctrina de este Tribunal sobre el particular —AATC 25/2012 y 27/2012, de 31 de enero—,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16 de abril de 2012, presentó alegaciones reiterando su solicitud de suspensión de las resoluciones impugnadas por los graves perjuicios que supone el mantenimiento en prisión, toda vez que ya han transcurrido dos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8128-2010.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