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21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mayo de 2010, el Procurador de los Tribunales don Javier Cuevas Rivas, en nombre y representación de don Raúl Ibáñez Díez, y bajo la dirección del Letrado don Eukenbe Jauregui Lejona, interpuso recurso de amparo contra el Auto de la Sección Tercera de la Sala de lo Penal de la Audiencia Nacional de 7 de octubre de 2010, dictado en la ejecutoria núm. 79-1996, por el que se desestima el recurso de súplica interpuesto contra el Auto de 23 de septiembre de 2010 por el que se acuerda fijar como fecha de licenciamiento definitivo del recurrente el día 25 de agosto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 esos efectos se expone que si se aplica la jurisprudencia anterior a la doctrina establecida en la Sentencia de la Sala de lo Penal del Tribunal Supremo núm. 197-2006, de 28 de febrero, el licenciamiento definitivo del recurrente habría tenido lugar el día 8 de octubre de 2010, conforme propuso el centro penitenciario en el que cumple condena, por lo que las resoluciones impugnadas, al rechazar la propuesta del centro y fijar el día 25 de agosto de 2021 como fecha de licenciamiento definitivo, conforme a la doctrina de la citada Sentencia, han retrasado su puesta en libertad once años, con lo que la ejecución de las resoluciones impugnadas ocasionaría un perjuicio al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en este Tribunal el 18 de abril de 2012, presentó alegaciones en las que, con cita de la doctrina de este Tribunal sobre el particular, interesó que se denegara la suspensión solicitada, dada la gravedad de las penas impuestas al recurrente, la lejanía del tiempo de cumplimiento definitivo y la circunstancia de que la suspensión determinaría la puesta en libertad del recurrente, lo que supondría, al menos parcialmente, un otorgamiento anticipado del amparo, lo que desnaturalizaría el carácter cautelar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en este Tribunal el 3 de abril de 2012, presentó alegaciones reiterando su solicitud de suspensión de las resoluciones impugnadas por los graves perjuicios que supone el mantenimiento en prisión, toda vez que ya ha transcurrido más de un año y medio desde que se superó la fecha del licenciamiento definitivo propuesto por el centro penitenciario y rechazado por las resoluciones recurridas en amparo, a lo que añade que la suspensión solicitada no supone perturbación grave de los intereses generales.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y tal como interesa el Ministerio Fiscal, la solicitud de suspensión debe ser rechazada, ya que se trata del cumplimiento de penas graves cuyo límite se ha establecido en treinta años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8327-2010.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