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24 de enero de 2011, el Procurador de los Tribunales don Jaime Briones Méndez interpuso recurso de amparo en nombre y representación de don Francisco Javier González Enríquez y otros contra el Auto del Juzgado de Primera Instancia núm. 87 de Madrid de 20 de diciembre de 2010, que desestimó la oposición del Banco Bilbao Vizcaya Argentaria, S.A. (BBVA), frente a la solicitud de diligencias preliminares formulada por la Asociación de Usuarios de Bancos, Cajas de Ahorros y Seguros de España (ADICAE) y acordó requerir al BBVA para que en plazo de treinta días entregara al Juzgado determinada información, para su puesta a disposición de ADICAE; asimismo se impugna la providencia de 30 de noviembre de 2010, que denegó la personación de los recurrentes en el procedimiento de diligencias preliminares e inadmitió su petición de nulidad de actuaciones; la providencia de 20 de diciembre de 2010, que inadmitió a trámite el recurso de reposición formulado contra la anterior providencia; y, finalmente, la providencia de 22 de diciembre de 2010, que ordenó la devolución de los escritos oponiéndose a ADICAE y de solicitud de eliminación de datos de carácter personal de la base de datos a entregar por el BBVA al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se solicitó en la demanda su acumulación al recurso de amparo núm. 8640-2010, del que conoce la Sala Primera de este Tribunal Constitucional, el cual  fue interpuesto por el BBVA contra las resoluciones judiciales antes reseñadas.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 de marzo de 2012 la Sala Segunda de este Tribunal admitió a trámite la demanda de amparo y acordó conceder a las partes un plazo de diez días, a fin de que, conforme a lo establecido en el art. 83 de la Ley Orgánica del Tribunal Constitucional, efectuaran alegaciones sobre la acumulación del presente recurso al seguido bajo núm. 8640-2010 en la Sala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de 15 de marzo de 2012 se mostró favorable a la acumulación de las demandas puesto que ambas se dirigen contra las mismas resoluciones judiciales y se denuncia en ellas la vulneración del mismo derecho fundamental (el derecho a la protección de datos personales ex art. 18.4 CE en relación con el derecho a la intimidad ex art. 18.1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los demandantes de amparo presentó sus alegaciones el 15 de marzo de 2012, mediante escrito en el que se reitera la petición de acumulación consignada en el escrito de demanda, la vista de la identidad de objeto de ambos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7 de mayo de 2012 la Sala Primera de este Tribunal dictó Sentencia resolviendo el recurso de amparo núm. 8640-2010.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83 de la Ley Orgánica del Tribunal Constitucional faculta a este Tribunal para disponer la acumulación “de aquellos procesos con objetos conexos que justifiquen la unidad de tramitación y decisión”, por lo que resulta condición indispensable, para el ejercicio de tal facultad, que los procesos cuya acumulación se pretenda estén pendientes de su resolución, circunstancia que no concurre en el presente caso, habida cuenta de que el recurso de amparo núm. 8640-2010 ha sido decidido por la Sala Primera de este Tribunal mediante la STC 96/2012, pronunciada el 7 de mayo del año en 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acumulación del presente recurso de amparo núm. 444-2011 al recurso de amparo núm. 8640-2010.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