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18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7210-2009,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10 de junio de 2009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Decano de Valladolid el 24 de julio de 2009 y registrado en este Tribunal el siguiente día 3 de agosto, la Procuradora de los Tribunales doña Mercedes Caro Bonilla, actuando en nombre y representación de Bodegas Antaño, S.A., interpuso recurso de amparo frente 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los que trae causa el presente recurso de amparo, son en resumen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15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sesenta mil un euros por la comisión de una infracción administrativa muy grave tipificada en el art. 40.2 d) de la Ley 24/2003, de 10 de julio, de la viña y 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autonómica 8/2005, de 10 de junio, de la viña y del vino de Castilla y León, no resultando de aplicación el art. 40.2 d) de la Ley estatal 24/2003, de 10 de julio, de la viña y el vino en el ámbito territorial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sancionadora, en su fundamento de Derecho tercero, rechaza esta alegación por considerar, en esencia, que la expresión “legislación básica” que contiene el art. 42 de la Ley 8/2005, de 10 de junio, de la viña y el vino de Castilla y León tiene carácter genérico y remite a la totalidad del régimen sancionador de la Ley 24/2003, de 10 de julio, de la viña y el vino, sin distinguir entre preceptos básicos y no básicos, y que, en todo caso, el Derecho estatal tiene carácter supletorio de acuerdo con lo establecido en el art. 149.3 CE, precepto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sancionada interpuso recurso contencioso-administrativo que fue estimado por la Sentencia del Juzgado de lo Contencioso-Administrativo núm. 2 de Valladolid de fecha 4 de septiembre de 2008. Entiende el Juzgado, en el fundamento jurídico cuarto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1445/2009, de 10 de junio, de la Sección Segunda de la Sala de lo Contencioso-Administrativo del Tribunal Superior de Justica, con sede en Valladolid, estimó el recurso de apelación interpuesto por la Junta de Castilla y León,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a quo de la expresión tantas veces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autorizadas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representación procesal de Bodegas Antaño, S.A.,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actora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disposición final segunda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cerrar su escrito de demanda, la actora reconoce que, en el momento de producirse los hechos, podía prever la aplicación de lo dispuesto en el art. 44.3 e) del Reglamento de la denominación de origen “Rueda”, aprobado por Orden del Ministerio de Agricultura, Pesca y Alimentación 2059/2002, de 21 de julio, donde se tipifica como infracción grave la indebida tenencia, negociación o utilización de los documentos, precintas, etiquetas, sellos, etc., propios de la denominación, sancionando esta conducta con multa de veinte mil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dicte Sentencia por la que se reconozca el derecho de la recurrente a la legalidad en materia sancionadora y, a fin de reparar la lesión padecida en éste, se anulen la Sentencia de la Sección Segunda de la Sala de lo Contencioso-Administrativo del Tribunal Superior de Justicia de Castilla y León núm. 1445, de 10 de junio de 2009, y la orden del Consejero de Agricultura y Ganadería de la Junta de Castilla y León de 19 de octubre de 2006, por la que se le impone una sanción de sesenta mil euros como autora de una infracción del art. 40.2 d) de la Ley estatal 24/2003,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Secretaria de Justicia de la Sección Cuarta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Subsanado el defecto antes citado, por providencia de 17 de marzo de 2011 la Sala Segunda de este Tribunal acordó, de conformidad con lo dispuesto en el art. 11.2 LOTC, conocer del presente recurso de amparo y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de las actuaciones correspondientes al recurso de apelación núm. 777-2008 y al Juzgado de lo Contencioso-Administrativo núm. 2 de Valladolid para que, en plazo no superior a diez días, remitiera certificación o fotocopia adverada de las actuaciones correspondientes al procedimiento ordinario núm. 78-2008, debiendo previamente emplazar a quienes hubieran sido parte en ese proceso, excepto la recurrente en amparo, para que pudieran comparecer en el presente recurso; lo que así hizo el siguiente día 18 de abril el Letrado de la Comunidad Autónoma de Castilla y León, solicitando que se le tuviera por personado y parte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6 de mayo de 2011 se tuvo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conferido mediante escrito presentado el 7 de junio de 2011. En dicho escrito pone de manifiesto que, habida cuenta de que el presente recurso de amparo presenta una identidad sustancial con el recurso núm. 586-2010, tramitado ante esta misma Sala en virtud de demanda de la entidad Bodega de Sarriá, S.A., y con los recursos núm. 7209-2009 y 3757-2010, tramitados por la Sala Primera, reitera las alegaciones efectuadas en aquéllos, interesando que se dicte Sentencia estimatoria del recurso de amparo promovido por Bodegas Antaño,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mercantil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su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junio de 2011 se presentó en el Registro General de este Tribunal el escrito de alegaciones del Letrado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su escrito el Letrado autonómico aduciendo la extemporaneidad del recurso de amparo, pues se interpuso al día siguiente de que hubiera transcurrido el plazo de veinte días desde la notificación de la resolución recaída en el proceso judicial previo (art. 43.2 LOTC), en este caso la Sentencia de la Sección Segunda de la Sala de lo Contencioso-Administrativo del Tribunal Superior de Justicia de Castilla y León, con sede en Valladolid, sin que sea de aplicación supletoria lo dispuesto en 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subsidiario el Letrado de la Comunidad Autónoma de Castilla y León postula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punto al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que una disposición contenida en una norma estatal no tenga carácter básico, como sucede en el caso del art. 40.2 d) de la Ley 24/2003, no significa que no sea aplicable en las Comunidades Autónomas. Serán aplicables bien porque las Comunidades Autónomas las asuman expresamente, o bien porque no las desplacen o sustituyan, en cuyo caso entra en juego la cláusula supletoria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la técnica legislativa, pero el espíritu y finalidad de la Ley 8/2005, de la viña y el vino de Castilla y León en este punto no puede ser más claro: asegurar la aplicabilidad todas las normas relativas a infracciones y sanciones contenidas en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junio de 2001 la representación procesal de la mercantil demandante de amparo se ratificó en los argumentos ya expuestos en el escrito rector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junio de 2012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Bodegas Antaño, S.A., solicita amparo respecto de la Orden del Consejero de Agricultura y Ganadería de la Junta de Castilla y León de 19 de octubre de 2006, imponiéndole una sanción pecuniaria de sesenta mil un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10 de junio de 2009, que, con estimación del recurso de apelación formulado por la Administración autora del acto contra la Sentencia del Juzgado de lo Contencioso-Administrativo núm. 2 de Valladolid de 4 de septiembre de 2008, confirmó la legalidad de dicha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ambas resoluciones habrían vulnerado su derecho fundamental a la legalidad sancionadora, opinión que comparte el Ministerio Fiscal en las alegaciones formuladas en este proceso constitucional y de la que discrepa la representación de la Junta de Castilla y León, quien interesa la inadmisión del recurso de amparo por extemporáneo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emprender el análisis del fondo de este proceso constitucional es preciso despejar el óbice procesal opuesto por el Letrado de la Comunidad Autónoma de Castilla y León, quien aduce extemporaneidad en la interposición por Bodegas Antaño, S.A., del recurso de amparo dado que éste tuvo entrada en el Juzgado Decano de los de Valladolid después de que hubiera expirado el plazo de veinte días desde la notificación de la resolución recaída en el proceso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junio de 2009, el plazo concluía el 23 de julio siguiente, pese a lo cual el recurso de amparo se presentó en el Decanato de Valladolid, como es de ver en la diligencia de ordenación, el 24 de julio de 2009, esto es, una vez expirado el plazo de caducidad del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que, efectivamente, este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en esta ocasión, el día 24 de julio de 2009, aparece ya expresamente prevista en el art. 85.2 LOTC, en la redacción dada al mismo por la Ley Orgánica 6/2007, de 24 de mayo, (STC 28/2011 de 14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es de señalar que la impugnación de la sanción litigiosa tiene su origen en 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cuestión ha sido ya resuelta en las SSTC 90/2012, de 7 de mayo, y 109/2012, de 21 de mayo. Al igual que se hace en esta última Sentencia, procede que nos remitamos ahora al contenido de la STC 90/2012, reiterando nuevamente que, como expresamente se deja dicho en el fundamento jurídico 5 de esta Sentencia,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y que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Bodegas Antaño,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legalidad sancionadora (art. 25.1 CE) de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Orden del Consejero de Agricultura y Ganadería de la Junta de Castilla y León de 19 de octubre de 2006, por la que se le impone a Bodegas Antaño, S.A., una sanción de sesenta mil un euros como autora de una infracción del art. 40.2 d) de la Ley 24/2003, de 10 de julio, de la viña y del vino, así como de la Sentencia de la Sección Segunda de la Sala de lo Contencioso-Administrativo del Tribunal Superior de Justicia de Castilla y León, con sede en Valladolid, 1445/2009, de 10 de junio.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