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18 de junio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junio de 2011 el Procurador don Manuel Sánchez-Puelles y González-Carvajal interpuso demanda de amparo, en nombre y representación de don Mansueto Sayols Vendrell contra la Sentencia de Sala de lo Contencioso-Administrativo (Sección Quinta) del Tribunal Supremo de 6 de abril de 2011 y contra la Sentencia de la Sala de lo Contencioso-Administrativo del Tribunal Superior de Justicia de Cataluña de 2 de febrero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aduce que las resoluciones judiciales impugnadas han vulnerado su derecho a la tutela judicial efectiva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por medio de otrosí, solicita la suspensión de la ejecución de las resoluciones recurridas. El recurrente aduce que su ejecución haría perder al recurso de amparo su finalidad y, por otro, que su suspensión de la eficacia de estas resoluciones no causaría perjuicios al interés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el recurrente que tanto él como las Administraciones demandadas y otros titulares de actividades igualmente afectados por las resoluciones judiciales “pueden sufrir graves perjuicios en sus bienes y derechos, patrimonio, derechos sociales, puestos de trabajo, actividades industriales y comerciales y/o indemnizaciones posibles a cargo de las Administraciones”, sin que proceda fianza “dadas las circunstancias concurrentes y dado que no peligran los derechos constitucionales del recurrente ni el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16 de abril de 2012, la Sala Primera de este Tribunal acordó admitir a trámite el recurso de amparo y dirigir comunicación a los órganos judiciales correspondientes, a fin de que, en el plazo de diez días, remitieran certificación o fotocopia adverada de las actuaciones y emplazaran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de la Ley Orgánica del Tribunal Constitucional, concedió un plazo común de tres días a la parte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abril de 2012 el recurrente presentó, en el Registro General de este Tribunal, su escrito de alegaciones. Aduce en este escrito que no existe perjuicio para el interés general ni tampoco para el recurrente en el proceso contencioso-administrativo, mientras que la ejecución de las resoluciones judiciales ocasionaría graves perjuicios económicos y morales no sólo a él que es titular de una gasolinera que parcialmente se encuentra ubicada en la zona afectada por las resoluciones, sino también a otros titulares de actividades que se encuentran en la misma zona, así como para todo el personal de estas actividades de servicio. Concluye, por otra parte, afirmando —sin mayor argumentación— que, en consecuencia, no procede la prestación de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4 de mayo de 2012 el Ministerio Fiscal presentó su escrito de alegaciones. El Fiscal recuerda la doctrina de este Tribunal conforme a la cual la suspensión cautelar en el proceso de amparo constitucional es una medida provisional de carácter excepcional y de aplicación restrictiva, y analiza los supuestos en los que justificadamente puede otorgarse la suspensión, entre los cuales se encuentran aquellos relativos al cierre de negocios. Considera, no obstante, que el recurrente no ha cumplido con la carga de probar que la ejecución de las resoluciones judiciales pueda acarrearle un perjuicio que hiciera perder al amparo su finalidad, pues aunque se afirma que tanto el recurrente como las Administraciones demandadas y otros terceros incomparecidos “pueden sufrir graves perjuicios en sus bienes y derechos, patrimonio, derechos sociales, puestos de trabajo, actividades industriales y comerciales y/o indemnizaciones posibles”, dichas afirmaciones no pueden verificarse porque el solicitante de la suspensión no ha acreditado la situación actual “ni de la Estación de Servicio ni de la empresa titular, respecto de activos y pasivos, capital, volumen de negocio efectivo, número de trabajadores afectados, actividad desarrollada y situación económica real de la explotación y, por ello, no se pueden entender debidamente justificados, ni aún prima facie o con carácter de principio de prueba, los perjuicios ni su irreparabilidad”.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en consecuencia, afirmando que “se ha de denegar la suspensión solicitada, toda vez que no se ha acreditado suficientemente un principio razonable de irreparabilidad de los perjuicios que ocasionaría su ejecución” y, subsidiariamente, para el caso de que no se compartiera esta apreciación, que se supedite la suspensión a la previa prestación de fianza.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1/2010, de 11 de enero, y 95/2010, de 19 de julio, entre otros muchos). En principio, pues, no procede la suspensión de las resoluciones judiciales por la perturbación de la función jurisdiccional que la misma supone, excepto en el caso de que el recurrente acredite suficientemente la irreparabilidad que para sus derechos fundamentales pudiera tener la ejecución y siempre “que la suspensión no ocasione perturbación grave a un interés constitucionalmente protegido, ni a los derechos fundamentales o libertades de otra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es doctrina reiterada y unánime de este Tribunal que la previsión contenida en el art. 56.2 LOTC, que exige como uno de los requisitos para otorgar la suspensión que la ejecución del acto del poder público por razón del cual se reclama el amparo ocasione “un perjuicio al recurrente que pudiera hacer perder al amparo su finalidad”, debe interpretarse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(ATC 125/2003, de 23 de abril, FJ 2; y, en el mismo sentido AATC 20/2009, de 26 de enero, 94/2010 y 95/2010, ambos de 19 de julio, entre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resolver acerca de la procedencia o no de la suspensión solicitada, es preciso tener en cuenta que la Sentencia del Tribunal Superior de Justicia de Cataluña de 2 de febrero de 2007, que se confirma por la Sentencia del Tribunal Supremo de 6 de abril de 2011, anula la modificación de la calificación urbanística del terreno en el que se ubica la gasolinera del ahora recurrente en amparo, lo que determina que vuelva a tener validez la anterior calificación del mismo que era la de zona verde; calificación incompatible con su actual uso o destino a estación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de acuerdo con el art. 210 del texto refundido de la Ley de urbanismo de Cataluña, aprobado por Decreto Legislativo 1/2010, de 3 de agosto, las licencias que se adopten con relación a los terrenos que el planeamiento destina al sistema de espacio libre público (como es el caso de las zonas verdes) que infrinjan las determinaciones de esta ley, del planeamiento urbanístico o de las ordenanzas municipales urbanísticas son nulas de pleno Derecho, debiendo revisarse por el procedimiento pertinente (art. 208.1) —el procedimiento de revisión de oficio— sin que la acción de restauración tenga plazo de prescripción (art. 207).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las consideraciones anteriores, es preciso tener en cuenta que, en el presente caso, las resoluciones judiciales cuya suspensión se solicita no se refieren ni afectan directamente a la licencia; se refieren únicamente a la calificación urbanística del terreno. La anulación de la licencia y la restauración de la zona verde —eventual efecto indirecto de la anulación de la calificación del terreno— requiere que se lleve a cabo un procedimiento de revisión de oficio de la licencia, así como dictar las correspondientes órdenes de demolición y restauración, sin que por el momento conste que tales procedimientos administrativos se hayan iniciado y sin que se sepa si esta cuestión se va o no, efectivamente, a plantear en ejecución de las resoluciones judiciales que se recurren en amparo. Por tanto, la solicitud de suspensión resulta prematura, teniendo por objeto evitar un perjuicio futuro o hipotético, esto es, hacer frente a un simple temor, cuando es doctrina de este Tribunal que “el perjuicio irreparable ha de ser real” (por todos, ATC 199/2010, de 21 de diciembre, FJ 3, y los allí citados). No concurren, por tanto, en la actualidad, los requisitos para el otorgamiento de la suspensión. Ello no obsta, claro está, a que si en el curso de este proceso de amparo, el simple temor se convirtiera en un perjuicio real, pudiera solicitarse de nuevo la suspensión, conforme a lo dispuesto en el apartado 4 del art.56 LOTC que permite dicha solicitud “en cualquier tiempo, antes de haberse pronunciado la sentencia o decidirse el amparo de otro modo”.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