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18 de junio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junio de 2011 el Procurador don Manuel Sánchez-Puelles y González-Carvajal interpuso demanda de amparo, en nombre y representación de don Mansueto Sayols Vendrell contra la Sentencia de Sala de lo Contencioso-Administrativo (Sección Quinta) del Tribunal Supremo de 6 de abril de 2011 y contra la Sentencia de la Sala de lo Contencioso-Administrativo del Tribunal Superior de Justicia de Cataluña de 2 de febrero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aduce que las resoluciones judiciales impugnadas han vulnerado su derecho a la tutela judicial efectiva (art. 24.1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por medio de otrosí, solicita la suspensión de la ejecución de las resoluciones recurridas. El recurrente aduce que su ejecución haría perder al recurso de amparo su finalidad y, por otro, que su suspensión de la eficacia de estas resoluciones no causaría perjuicios al interés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el recurrente que tanto él como las Administraciones demandadas y otros titulares de actividades igualmente afectados por las resoluciones judiciales “pueden sufrir graves perjuicios en sus bienes y derechos, patrimonio, derechos sociales, puestos de trabajo, actividades industriales y comerciales y/o indemnizaciones posibles a cargo de las Administraciones”, sin que proceda fianza “dadas las circunstancias concurrentes y dado que no peligran los derechos constitucionales del recurrente ni 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16 de abril de 2012, la Sala Primera de este Tribunal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24 de abril de 2012 el recurrente presentó, en el Registro General de este Tribunal, su escrito de alegaciones. Aduce en este escrito que no existe perjuicio para el interés general ni tampoco para el recurrente en el proceso contencioso-administrativo, mientras que la ejecución de las resoluciones judiciales ocasionaría graves perjuicios económicos y morales no sólo a él que es titular de una gasolinera que parcialmente se encuentra ubicada en la zona afectada por las resoluciones, sino también a otros titulares de actividades que se encuentran en la misma zona, así como para todo el personal de estas actividades de servicio. Concluye, por otra parte, afirmando —sin mayor argumentación— que, en consecuencia, no procede la prestación de fianza.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4 de mayo de 2012 el Ministerio Fiscal presentó su escrito de alegaciones. El Fiscal recuerda la doctrina de este Tribunal conforme a la cual la suspensión cautelar en el proceso de amparo constitucional es una medida provisional de carácter excepcional y de aplicación restrictiva, y analiza los supuestos en los que justificadamente puede otorgarse la suspensión, entre los cuales se encuentran aquellos relativos al cierre de negocios. Considera, no obstante, que el recurrente no ha cumplido con la carga de probar que la ejecución de las resoluciones judiciales pueda acarrearle un perjuicio que hiciera perder al amparo su finalidad, pues aunque se afirma que tanto el recurrente como las Administraciones demandadas y otros terceros incomparecidos “pueden sufrir graves perjuicios en sus bienes y derechos, patrimonio, derechos sociales, puestos de trabajo, actividades industriales y comerciales y/o indemnizaciones posibles”, dichas afirmaciones no pueden verificarse porque el solicitante de la suspensión no ha acreditado la situación actual “ni de la Estación de Servicio ni de la empresa titular, respecto de activos y pasivos, capital, volumen de negocio efectivo, número de trabajadores afectados, actividad desarrollada y situación económica real de la explotación y, por ello, no se pueden entender debidamente justificados, ni aún prima facie o con carácter de principio de prueba, los perjuicios ni su irreparabilidad”.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en consecuencia, afirmando que “se ha de denegar la suspensión solicitada, toda vez que no se ha acreditado suficientemente un principio razonable de irreparabilidad de los perjuicios que ocasionaría su ejecución” y, subsidiariamente, para el caso de que no se compartiera esta apreciación, que se supedite la suspensión a la previa prestación de fianza.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1/2010, de 11 de enero, y 95/2010, de 19 de julio, entre otros muchos).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libertades de otra persona”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es doctrina reiterada y unánime de este Tribunal que la previsión contenida en el art. 56.2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entre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resolver acerca de la procedencia o no de la suspensión solicitada, es preciso tener en cuenta que la Sentencia del Tribunal Superior de Justicia de Cataluña de 2 de febrero de 2007, que se confirma por la Sentencia del Tribunal Supremo de 6 de abril de 2011, anula la modificación de la calificación urbanística del terreno en el que se ubica la gasolinera del ahora recurrente en amparo, lo que determina que vuelva a tener validez la anterior calificación del mismo que era la de zona verde; calificación incompatible con su actual uso o destino a estación de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de acuerdo con el art. 210 del texto refundido de la Ley de urbanismo de Cataluña, aprobado por Decreto Legislativo 1/2010, de 3 de agosto, las licencias que se adopten con relación a los terrenos que el planeamiento destina al sistema de espacio libre público (como es el caso de las zonas verdes) que infrinjan las determinaciones de esta ley, del planeamiento urbanístico o de las ordenanzas municipales urbanísticas son nulas de pleno Derecho, debiendo revisarse por el procedimiento pertinente (art. 208.1) —el procedimiento de revisión de oficio— sin que la acción de restauración tenga plazo de prescripción (art. 207).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las consideraciones anteriores, es preciso tener en cuenta que, en el presente caso, las resoluciones judiciales cuya suspensión se solicita no se refieren ni afectan directamente a la licencia; se refieren únicamente a la calificación urbanística del terreno. La anulación de la licencia y la restauración de la zona verde —eventual efecto indirecto de la anulación de la calificación del terreno— requiere que se lleve a cabo un procedimiento de revisión de oficio de la licencia, así como dictar las correspondientes órdenes de demolición y restauración, sin que por el momento conste que tales procedimientos administrativos se hayan iniciado y sin que se sepa si esta cuestión se va o no, efectivamente, a plantear en ejecución de las resoluciones judiciales que se recurren en amparo. Por tanto, la solicitud de suspensión resulta prematura, teniendo por objeto evitar un perjuicio futuro o hipotético, esto es, hacer frente a un simple temor, cuando es doctrina de este Tribunal que “el perjuicio irreparable ha de ser real” (por todos, ATC 199/2010, de 21 de diciembre, FJ 3, y los allí citados). No concurren, por tanto, en la actualidad, los requisitos para el otorgamiento de la suspensión. Ello no obsta, claro está, a que si en el curso de este proceso de amparo, el simple temor se convirtiera en un perjuicio real, pudiera solicitarse de nuevo la suspensión, conforme a lo dispuesto en el apartado 4 del art.56 LOTC que permite dicha solicitud “en cualquier tiempo, antes de haberse pronunciado la sentencia o decidirse el amparo de otro modo”.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