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2908-2010, promovido por don Andrés Domínguez Villegas, representado por la Procuradora de los Tribunales doña Ana de la Corte Macías y bajo la dirección del Letrado don Juan Carlos Lara Barrientos, contra la Sentencia de la Sala Segunda del Tribunal Supremo núm. 1315/2009, de 10 de diciembre, por la que se desestima el recurso de casación núm. 1538-2009 interpuesto contra la Sentencia de la Sección Séptima de la Audiencia Provincial de Cádiz núm. 162/2009, de 13 de mayo, dictada en el procedimiento abreviado núm. 179-2008. Ha intervenido el Ministerio Fiscal. Ha sido Ponente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abril de 2010, la Procuradora de los Tribunales doña Ana de la Corte Macías, en nombre y representación de don Andrés Domínguez Villegas, y bajo la dirección del Letrado don Juan Carlos Lara Barrientos,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Comandancia de la Guardia Civil de Algeciras remitió el 18 de agosto de 2004 unas diligencias a los Juzgados de Algeciras, poniendo de manifiesto que sobre las 2:00 horas del día 30 de julio de 2004 dos agentes de la Guardia Civil, que prestaban su servicio en el recinto portuario de Algeciras, identificaron en el pre-embarque de vehículos a Tánger a una mujer de nacionalidad extranjera que pretendía embarcar un vehículo de alta gama y matrícula suiza y que, ante la sospechas de que pudiera estar alterada la documentación, inmovilizaron el vehículo, requiriendo a la conductora para que compareciera horas después en esas dependencias y comprobar la situación del vehículo. En dichas diligencias también se hacia constar que se había verificado que el vehículo figuraba como sustraído y que la conductora no se había personado en las dependencias policiales tal como se le había requerido. Estas diligencias dieron lugar a que se incoaran las diligencias previas núm. 1225-2004 por Auto del Juzgado Mixto núm. 5 de Algeciras de 20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comisario jefe de la comisaría de Algeciras, mediante escrito de 15 de noviembre de 2004, solicitó al Juzgado que ordenara a las compañías telefónicas correspondientes el listado de llamadas mantenidas entre dos teléfonos móviles. Para justificar dicha solicitud se ponía de manifiesto que, en relación con la intervención del vehículo que había dado lugar a la incoación de las diligencias previas, se había recibido un informe de la Comandancia de la Guardia Civil en la que se informaba que los agentes de la Guardia Civil observaron durante dicha intervención la conducta irregular de un funcionario del Cuerpo Nacional de Policía. Concretamente, se señala que, cuando se iba a proceder a la comprobación de la documentación de un vehículo, un policía que se encontraba en las taquillas de validación de las tarjetas de embarque manifestó a los agentes de la Guardia Civil que lo estaba esperando, por lo que desistieron de la identificación, observando que el policía acompañó el vehículo hasta el control de pasaportes, dejándolo marchar tras cinco minutos. Igualmente, se relata que los agentes de la Guardia Civil, al considerar que la comprobación policial no había sido lo bastante exhaustiva, volvieron a interceptar el vehículo antes que embarcara con destino a Tánger, trasladándolo hasta sus dependencias, donde observaron que en una agenda de la conductora aparecían dos números de teléfonos reseñados como “mío” e “Interpol”, siendo el correspondiente a la denominación “mío” el del móvil que portaba la conductora y el de la denominación “Interpol” el del funcionario de policía, ahora recurrente en amparo. El Juzgado, por Auto de 16 de noviembre de 2004, autorizó la obtención del listado de llamadas entre los dos teléfonos móviles reseñados, resultando la existencia de diversas llamadas cruzadas. El recurrente fue detenido el 27 de diciembre de 2004, acordándose por Auto de 28 de diciembre de 2004 su prisión provisional eludible mediante el pago de una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mediante escrito registrado el 15 de marzo de 2005, instó la nulidad de actuaciones alegando la vulneración del derecho al secreto de las comunicaciones (art. 18.3 CE) por haberse accedido al teléfono móvil de la conductora del vehículo sin haber sido detenida y sin autorización judicial. La solicitud fue desestimada por Auto de 28 de marzo de 2005 argumentando que la observación de una agenda de un teléfono móvil no incide sobre el derecho al secreto de las comunicaciones. Por Auto de 15 de diciembre de 2005 se acordó el sobreseimiento provisional de la causa en tanto no fuera habida la conductora del vehículo. Una vez detenida la conductora del vehículo, por Auto de 18 de enero de 2008 se acordó la reapertura de las actuaciones. Por Auto de 27 de noviembre de 2008 se acordó la apertura del juicio oral y el recurrente en su escrito de defensa insistió en la vulneración del derecho a la intimidad y el secreto de las comunicaciones por haberse inspeccionado la agenda del teléfono móvil de la conductora del vehículo sin estar detenida, sin que prestara su consentimiento y sin autorización judicial. En el acto del juicio oral celebrado el 4 de mayo de 2009, el recurrente volvió a insistir como cuestión previa en la vulneración de derechos fundamentales por haberse accedido a la información de la agenda del teléfono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junto con la otra coimputada, fue condenado por Sentencia de la Sección Séptima de la Audiencia Provincial de Cádiz núm. 162/2009, de 13 de mayo, dictada en el procedimiento abreviado núm. 179-2008, como autor de sendos delitos de receptación y de uso de documento falso, agravados por prevalerse de su carácter público, a las penas de prisión de un año y seis meses, por el primer delito, y de prisión de cinco meses y multa de cinco meses con una cuota diaria de seis euros, por el segundo, con accesorias y pago de costas. La Sentencia consideró probada la connivencia del recurrente y la conductora del vehículo para trasladar a Tánger un vehículo de alta gama sustraído de un concesionario de Italia, cuya documentación había sido alterada. En cuanto a las cuestiones previas planteadas, con cita de abundante jurisprudencia del Tribunal Supremo y del Tribunal Constitucional, la Sentencia argumenta que el hecho de la consulta de los números de teléfono memorizados en la agenda del teléfono móvil de la conductora del vehículo no forma parte del proceso de comunicación, “en cuanto que a través de ellos simplemente se podrá conocer que una persona tiene el teléfono de otra, pero no si se ha hablado alguna vez con ella”, por lo que no está amparado por el derecho al secreto de las comunicaciones (fundamentos de Derecho sexto y séptimo). A partir de ello, la Sentencia pone de manifiesto que la policía puede acceder a los datos contenidos en la agenda “siempre que lo haga en el curso de una investigación por un delito de cierta entidad, y sin necesidad de contar, ni con el consentimiento del titular, ni con autorización judicial”, concluyendo que “aun admitiendo que no puede hablarse de un consentimiento válidamente prestado en este supuesto, ya que la imputada no hablaba suficientemente español … no apreciamos concurra la infracción denunciada” (fundamento de Derecho séptimo). Igualmente, se destaca que “aunque se admitiera la nulidad de la diligencia de consulta de la agenda del teléfono … ello no sería suficiente para decretar la nulidad del resto de pruebas, ya que se ha admitido por ambos acusados … que se llamaron mutuamente y, en cualquier caso, la responsabilidad criminal de ambos puede perfectamente inferirse a partir de otras pruebas independientes, por lo que no existiría la conexión de antijuridicidad que es precisa para decretar dicha nulidad del resto de pruebas, conforme al art. 11 de la Ley Orgánica del Poder Judicial” (fundamento de Derecho séptimo). Asimismo, rechazó que se hubiera causado indefensión al recurrente por no haberse podido disponer físicamente del teléfono móvil como pieza de convicción, ya que el mismo no estaba a disposición del Tribunal. Y denegó también la aplicación de una circunstancia atenuante analógica de dilaciones indebidas por entender que, pese a que la duración de la causa —cinco años— había excedido de lo razonable, la demora de casi tres años se debió a la imposibilidad de localizar a la persona coimputada, siendo necesario su enjuiciamiento conjunto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convicción judicial sobre los hechos se basó, en primer lugar, en la circunstancia reconocida por ambos imputados en el plenario de que ambos se conocían con anterioridad al día en que coincidieron en la zona portuaria de Algeciras, al haberse visto, de forma un tanto casual, en un bar cercano y tomar un café, rectificando con ello lo previamente declarado por ambos en la fase de instrucción. En relación con ello, en la Sentencia se destaca que este previo conocimiento era en realidad algo más profundo del reconocido, al entender plenamente demostrado, conforme a la declaración de los agentes de la Guardia Civil que interceptaron en su día al vehículo, que la coimputada tenía en la agenda de su móvil, con la mención “Interpol” el número de teléfono del otro acusado, y que entre dichos teléfonos se habían realizado llamadas cruzadas e, igualmente, una serie de llamadas desde ambos teléfonos a un mismo número en un período inferior a un mes (fundamento de Derecho decimoséptimo). La Sentencia también incide en la conducta desarrollada por el recurrente el día de los hechos, incluyendo la circunstancia de que, a pesar de su declaración, no existió ninguna consulta en la aplicación informática sobre los datos de vehículo conducido por la coimputada y de que, tal como declararon los agentes de la Guardia Civil, ni siquiera levantó el maletero para mirar el número de bastidor troquelado y les afirmó que él ya había comprobado el vehículo (fundamento de Derecho decimoctavo).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interpuso recurso de casación, tramitado con el núm. 1538-2009, alegando, entre otros aspectos, la vulneración de los derechos a la intimidad (art. 18.1 CE) y al secreto de la comunicaciones (art. 18.3 CE), y de los derechos a la tutela judicial efectiva (art. 24.1 CE), a la presunción de inocencia, a la prueba y la interdicción de dilaciones indebidas (art. 24.2 CE). La Sentencia de la Sala Segunda del Tribunal Supremo núm. 1315/2009, de 18 de diciembre, con el Voto particular de un Magistrado, declaró no haber lugar al recurso de casación. En relación con las vulneraciones de los derechos a la intimidad y al secreto de las comunicaciones por haber accedido la Guardia Civil a la agenda de contactos del teléfono móvil de la coimputada, la Sentencia argumenta que el derecho concernido es la intimidad y que la injerencia en el mismo, que no precisa de autorización judicial, responde a una medida proporcionada ya que se trataba de una investigación de delitos de cierta gravedad en el que existían serias sospechas de que estuviera implicado un agente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premisa, la Sentencia también rechaza que se hubiera vulnerado el derecho a la presunción de inocencia por haber sido condenado a partir de pruebas ilícitamente obtenidas y sobre la base de declaraciones testificales que eran insuficientes para acreditar el concierto entre ambos condenados. A esos efectos, señala que la resolución impugnada valora debidamente la actividad probatoria desarrollada analizando las declaraciones testificales de los guardias civiles y funcionarios policiales actuantes, documentos y las propias manifestaciones de ambos acusados, “todas ellas válidas en su producción, razonablemente valoradas y plenamente capaces para sustentar el fallo condenatorio, al igual que ocurre con la información mediante el examen de la agenda del teléfono móvil a la que ya nos hemos referido” (fundamento de Derecho segundo). La Sentencia destaca, en primer lugar, la circunstancia de que el recurrente y la coimputada se conocieran previamente, dato que se acreditaba “no sólo por la existencia del número telefónico del recurrente en la agenda telefónica de la conductora del vehículo … sino porque, tras ciertas contradicciones, ambos acusados llegaron a reconocer que sí se habían visto con anterioridad, incluso que llegaron a tomar un café y a conversar ante de los hechos enjuiciados”; en segundo lugar, el comportamiento irregular del recurrente, inmiscuyéndose en una investigación de la Guardia Civil sobre el vehículo que intentaba pasar la frontera, diciendo expresamente a los guardias civiles que él se ocupaba de ese vehículo porque lo estaba esperando, y omitiendo después comprobar el número de bastidor y de motor del automóvil con la excusa de que estaba cansado, tal como se derivaba de las declaraciones efectuadas en el plenario por parte de la Guardia Civil y la Policía; y, en tercer lugar, la declaración del comisario, efectuada también en el plenario, sobre que el actor estuviera trabajando solo cuando lo habitual era que trabajaran a la vez al menos dos agentes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rechaza igualmente la alegada lesión del derecho a la defensa y a la prueba por no haberse accedido a la solicitud de que se informase sobre las posibilidades aplicativas del sistema informático de identificación de vehículos, al considerar que dicha prueba sí fue practicada, utilizándose de hecho el resultado de la información obtenida por dicho sistema como elemento de convicción por el Tribunal sentenciador. Por último, también se descarta la existencia de dilaciones indebidas, confirmando con ello la inaplicación de la circunstancia atenuante solicitada por el actor, por cuanto la paralización del procedimiento durante casi tres años se debió a la conducta de la otra acusada, que se encontraba en situación de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la vulneración del derecho a la intimidad (art. 18.1 CE), ya que apertura de la agenda del teléfono de la persona coimputada por parte de la Guardia Civil, en los términos de la STC 70/2002, de 3 de abril, supone una intromisión en la esfera privada de la persona que, en este caso, además, sería ilegítima, ya que dicha intromisión no estaría habilitada legalmente, dado que en el momento en que se realizó no se estaba investigando ningún delito y la propietaria del teléfono no estaba detenida ni imputada para intervenirle sus efectos personales y no prestó su consentimiento. Igualmente, destaca la existencia de una vulneración del derecho al secreto de las comunicaciones (art. 18.3 CE), toda vez que no queda realmente acreditado cuál es la información a la que se accede, pudiendo concluirse que lo que en realidad consultaron los agentes de la Guardia Civil fue el registro de llamadas, porque sólo de ese modo pudieron individualizar las sospechas en la persona del recurrente. Asimismo, argumenta que el teléfono móvil no es un archivo inerte de datos, sino un instrumento de y para la comunicación, por lo que constituye un reduccionismo abordar el acceso a la agenda del mismo desde el parámetro del art. 18.1 CE, dado que el núcleo del problema es el acceso sin control judicial a un contenido relevante de información sobre las comunicaciones del dueño o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también aduce que se ha vulnerado su derecho a la presunción de inocencia (art. 24.2 CE), argumentando que la prueba sobre los datos de la agenda del teléfono móvil se ha obtenido ilícitamente y que no existen pruebas de cargo bastante para desvirtuar la presunción de inocencia, ya que ninguno de los testigos que declararon en el juicio oral vieron realizar hecho delictivo alguno y no está acreditada la pretendida relación entre el demandante y la persona coimputada, y aun cuando ello fuera así, no sería un indicio determinante. Por otra parte, también se destaca que la forma de actuar del demandante el día de los hechos se explica por las rencillas profesionales existente entre la Policía Nacional y la Guardia Civil y por la no descartable comisión de errores por unos u otros miembros de las fuerzas de seguridad a la hora de controlar los vehículos. Igualmente, se destaca que la circunstancia de que el demandante conociera a la coimputada puede explicar que la dejara pasar a pesar de no sospechar nada sobre la ilícita posesión del vehículo, al no figurar en la aplicación informática como sustraído y no ser fácil detectar que la documentación sea falsa.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aduce como tercer motivo de amparo que en las Sentencias recurridas se ha incurrido en diversas irregularidades que le han causado indefensión, y que se ha vulnerado su derecho a utilizar los medios de prueba pertinentes para la defensa (art. 24.2 CE). Así, señala que, a pesar de que fue solicitado como prueba, no se ha traído al juicio oral el teléfono móvil de la coimputada donde se afirma que se halló el número de teléfono del recurrente, por lo que no ha podido someterse a contradicción. Igualmente, destaca que se denegó la solicitud de que se incorporaran las certificaciones de acceso a la aplicación informática utilizada para la localización e identificación de vehículos con la finalidad de poner en duda que por el recurrente se comprobaron los datos de una serie de vehículos y que sólo se remitieron de algunos periodos concretos, pero no de todos los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aduce la vulneración del derecho a un proceso sin dilaciones indebidas (art. 24.2 CE), dado que el proceso comenzó en 2004 y no se ha juzgado hasta 2009, por lo que debería habérsele aplicado una circunstancia atenuante por tal causa, dado que las dilaciones no pueden atribuirse a su conducta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 de diciembre de 2010, acordó admitir a trámite la demanda de amparo y, en aplicación de lo dispuesto en el art. 51 de la Ley Orgánica del Tribunal Constitucional (LOTC), requerir a los órganos judiciales la remisión de certificación o fotocopia adverada de las actuaciones y emplazamiento a quienes hubieran sido parte en el procedimiento, a excepción del demandante de amparo, para que pudiesen comparecer en el plazo de diez días en el presente proceso de amparo. Igualmente se acordó formar la correspondiente pieza separada de suspensión, en la que, tras los trámites oportunos, se dictó ATC 10/2011, de 14 de febrero, acordando suspender la ejecución de la Sentencia exclusivamente en lo relativo a la pena de prisión y sus penas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26 de enero de 2011, acordó, a tenor de lo dispuesto en el art. 52 LOTC, dar vista de las actuaciones por plazo común de veinte días al Ministerio Fiscal y a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7 de marzo de 2011, interesó que se denegara el amparo solicitado. En relación con la vulneración de los derechos a la intimidad y al secreto de las comunicaciones (art. 18.1 y 3 CE), manifiesta que, al tratarse del acceso a la lista de contactos y no al registro de llamadas, el derecho afectado es la intimidad personal (art. 18.1 CE), lo que implica que no sea imprescindible la autorización judicial. A partir de ello, el Ministerio Fiscal concluye que no se ha producido la vulneración aducida, ya que existía una habilitación legal para proceder de ese modo, el acceso a la agenda de teléfonos era urgente, necesario y proporcionado, teniendo en cuenta que las sospechas eran sobre un delito de considerable gravedad y que se proyectaban sobre un miembro de las fuerzas y cuerpos de seguridad del Estado, que los datos incluidos en la agenda podían ser fácilmente borrados y que era la medida menos invasiva de derechos de cuantas podía efectuar en ese momento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descarta que se haya producido la vulneración del derecho a la presunción de inocencia (art. 24.2 CE), por cuanto las pruebas en que se ha sostenido la condena se han practicado con las debidas garantías, y su valoración conjunta permite conformar una base probatoria suficiente para enervar la presunción de inocencia. En concreto, manifiesta el Ministerio Fiscal que la condena se ha sostenido sobre los siguientes indicios: el previo conocimiento del recurrente con la coimputada, lo que es admitido por ambos y corroborado por la aparición del número de teléfono del recurrente en la agenda del teléfono de la coimputada bajo la mención “Interpol”; el hecho de que cuando la Guardia Civil intercepta el vehículo que conducía la coimputada, se dirige ésta directamente al recurrente para presentarle a él la documentación del vehículo, pese a que el actor no llevaba placa identificativa; el comportamiento del recurrente, concretado en su ofrecimiento para ocuparse del vehículo, diciendo a la Guardia Civil que lo estaba esperando, dejando pasar después el vehículo sin comprobación de bastidor y motor, el hecho de que dijera a los agentes de la Guardia Civil que él ya había comprobado el vehículo, y las extrañas circunstancias de tiempo y lugar de su actuación. Considera el Ministerio Fiscal que la inferencia obtenida a partir de tales indicios, relativa al concierto del recurrente con la coimputada para el paso por la frontera de un vehículo sustraído, ni es ilógica ni es tan abierta o irracional que permita llegar a conclusiones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Ministerio Fiscal niega que se hayan vulnerado los derechos de defensa y a utilizar los medios de prueba (art. 24.2 CE), ya que la falta de incorporación del teléfono móvil a las actuaciones no es imputable al órgano judicial, al no ser incautado por la policía, siendo la coimputada quien podía haberlo aportado, al margen de no ser una prueba decisiva dada la facilidad con que el dato de la inclusión del número de teléfono del recurrente en la agenda de contactos pudo ser borrado durante los tres años en que la coimputada estuvo en paradero desconocido. A la misma conclusión llega en relación con la solicitud de informes respecto de la aplicación informática, al constatarse en las actuaciones que dichos documentos fueron aportados y que se acreditó que no hubo consulta alguna sobre el vehículo en cuestión, siendo irrelevantes las otras consultas sobre otros vehículos en otros periodos temporales para los hechos por los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rechaza la alegada vulneración del derecho a un proceso sin dilaciones indebidas (art. 24.2 CE), considerando que ni tales dilaciones se han producido ni, en todo caso, pueden ser remediadas por este Tribunal una vez que el proceso ha fenecido. Además, manifiesta que el recurrente recibió una respuesta motivada y no arbitraria sobre la inaplicación de la atenuante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28 de febrero de 2011, presentó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26 de junio de 2012 se señaló para deliberación y fallo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han vulnerado los derechos del recurrente a la intimidad (art. 18.1 CE) y el secreto de las comunicaciones (art. 18.3 CE), al haberse accedido por la Guardia Civil a la agenda del teléfono móvil de una persona coimputada; a un proceso con todas las garantías y a la presunción de inocencia (art. 24.2 CE), por haber sido condenado en virtud de los resultados de una prueba ilícita y a partir de actividad probatoria insuficiente para considerar acreditados los hechos delictivos; a no sufrir indefensión y a la utilización de los medios de prueba pertinentes (art. 24.2 CE), por haberse denegado la práctica de varias pruebas solicitadas; y a un proceso sin dilaciones indebidas (art. 24.2 CE), por no haberse aplicado una atenuación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en primer lugar, que la apertura de la agenda del teléfono de la persona coimputada por parte de la Guardia Civil supone una intromisión ilegítima en el derecho a la intimidad (art. 18.1 CE), ya que no existía habilitación legal para ello, dado que en el momento en que se realizó no se estaba investigando ningún delito y la propietaria del teléfono no estaba detenida ni imputada y no prestó su consentimiento. Igualmente, destaca que existiría una vulneración del derecho al secreto de las comunicaciones (art. 18.3 CE), toda vez que no queda realmente acreditado cuál es la información a la que se accede, pudiendo concluirse que lo que en realidad consultaron los agentes de la Guardia Civil fue el registro de llamadas, porque sólo de ese modo pudieron individualizar las sospechas en la persona del recurrente. Asimismo, argumenta que el teléfono móvil no es un archivo inerte de datos, sino un instrumento de y para la comunicación, por lo que constituye un reduccionismo abordar el acceso a la agenda del mismo desde el parámetro del art. 18.1 CE, dado que el núcleo del problema es el acceso sin control judicial a un contenido relevante de información sobre las comunicaciones del dueño o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alegaciones, resulta preciso identificar cuál de los derechos —a la intimidad (art. 18.1 CE) o al secreto de las comunicaciones (art. 18.3 CE)— es el afectado en el presente caso por la actuación de los agentes. A esos efectos, se debe destacar que si bien el recurrente sugiere en la demanda de amparo que la Guardia Civil pudo acceder no sólo a la agenda sino también al registro de llamadas del teléfono móvil de la coimputada, esta versión alternativa ni fue planteada por el recurrente en la vía judicial previa ni puede ahora ser reconsiderada en esta sede de amparo. En efecto, tal como ha sido reiterado por este Tribunal, en el procedimiento de amparo debe partirse de la acotación de hechos llevada a cabo por los órganos judiciales (por todas, STC 25/2011, de 14 de marzo, FJ 5), lo que en este caso determina que, con la lectura de las resoluciones impugnadas, sólo quepa partir de la base de que los agentes actuantes incautaron momentáneamente el teléfono móvil de la coimputada, accediendo, sin consentimiento de ésta, al listado de contactos, en el que advirtieron uno denominado “Interpol” al que correspondía un número de teléfono móvil, que resultó ser el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fáctico la cuestión debe quedar limitada a determinar si el acceso a la agenda del teléfono móvil de la coimputada es un acto administrativo sólo con incidencia en el derecho a la intimidad (art. 18.1 CE) o alcanza también al derecho al secreto de las comunicaciones (art. 18.3 CE), lo que, en última instancia, tiene relevancia por el diferente régimen constitucional de protección de ambos derechos. A esos efectos, cabe recordar que este Tribunal ha señalado que si bien, de conformidad con el art. 18.3 CE, la intervención de las comunicaciones requiere siempre resolución judicial, no existe en el art. 18.1 CE esa misma garantía de previa resolución judicial respecto del derecho a la intimidad personal, de modo que excepcionalmente se ha admitido la legitimidad constitucional de que en determinados casos y con la suficiente y precisa habilitación legal la policía judicial realice determinadas prácticas que constituyan una injerencia leve en la intimidad de las personas, siempre que se hayan respetado las exigencias dimanantes del principio de proporcionalidad (por todas, STC 281/2006, de 9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que el derecho al secreto de las comunicaciones (art. 18.3 CE) consagra la interdicción de la interceptación o del conocimiento antijurídico de las comunicaciones ajenas, por lo que dicho derecho puede resultar vulnerado tanto por la interceptación en sentido estricto —aprehensión física del soporte del mensaje, con conocimiento o no del mismo, o captación del proceso de comunicación— como por el simple conocimiento antijurídico de lo comunicado —apertura de la correspondencia ajena guardada por su destinatario o de un mensaje emitido por correo electrónico o a través de telefonía móvil, por ejemplo—. Igualmente se ha destacado que el concepto de secreto de la comunicación cubre no sólo el contenido de la comunicación, sino también otros aspectos de la misma, como la identidad subjetiva de los interlocutores, por lo que queda afectado por este derecho tanto la entrega de los listados de llamadas telefónicas por las compañías telefónicas como también el acceso al registro de llamadas entrantes y salientes grabadas en un teléfono móvil (por todas, STC 230/2007, de 5 de noviembre, FJ 2, o SSTEDH de 2 de agosto de 1984, caso Malone c. Reino Unido, § 84 y, entre las últimas, de 3 de abril de 2007, caso Copland c. Reino Unido,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se refiere al derecho a la intimidad (art. 18.1 CE), este Tribunal ya ha reiterado que la apertura de una agenda y la lectura de los papeles que se encontraban en ella inciden en el derecho a la intimidad (STC 70/2002, de 3 de abril, FJ 9). Igualmente, se ha puesto de manifiesto que, a pesar de las múltiples funciones tanto de recopilación y almacenamiento de datos como de comunicación con terceros a través de internet que posee un ordenador personal, el acceso a su contenido podrá afectar bien al derecho a la intimidad personal (art. 18.1 CE), bien al derecho al secreto de las comunicaciones (art. 18.3 CE) en función de si lo que resulta desvelado a terceros son, respectivamente, datos personales o datos relativos a la comunicación (STC 173/2011,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atendiendo estrictamente a lo declarado probado en las resoluciones judiciales impugnadas —y no controvertido en la vía judicial previa por el recurrente— de que el acceso de los agentes de la Guardia Civil al teléfono móvil de la coimputada se limitó a los datos recogidos en el archivo de contactos telefónicos pero no en el registro de llamadas efectuadas y/o recibidas, debe concluirse que dichos datos no forman parte de una comunicación actual o consumada, ni proporcionan información sobre actos concretos de comunicación pretéritos o futuros. En efecto, con el acceso a la agenda de contactos telefónicos la Guardia Civil no ha obtenido dato alguno concerniente a la transmisión de comunicación emitida o recibida por el teléfono móvil, sino únicamente un listado de números telefónicos introducidos voluntariamente por el usuario del terminal sobre los que no consta si han llegados a ser marcados. Por tanto, siendo lo determinante para la delimitación del contenido de los derechos fundamentales recogidos en los arts. 18.1 y 18.3 CE, en los términos ya expuestos, no el tipo de soporte, físico o electrónico, en el que la agenda de contactos esté alojada o el hecho, destacado por el recurrente, de que la agenda sea un aplicación de un terminal telefónico móvil, que es un instrumento de y para la comunicación, sino el carácter de la información a la que se accede, no cabe considerar que en el presente caso la actuaciones de los agentes de la Guardia Civil supusiera una injerencia en el ámbito de protección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lo anterior no puede dejar de destacarse, como ya se hiciera en la citada STC 173/2011, FJ 3, respecto de un ordenador personal, la circunstancia indubitada de que un teléfono móvil, al menos en este caso, es un instrumento cuyo fin esencial es la participación en un proceso comunicativo protegido por el art. 18.3 CE y, por tanto, que en el mismo quedan almacenados datos relevantes que afectan al secreto de las comunicaciones. De ese modo, la potencial afectación que el acceso a un teléfono móvil puede tener en el derecho al secreto de las comunicaciones implica que el parámetro de control a proyectar sobre la conducta de acceso a dicho instrumento deba ser especialmente riguroso, tanto desde la perspectiva de la existencia de norma legal habilitante, incluyendo la necesaria calidad de la ley, como desde la perspectiva de si la concreta actuación desarrollada al amparo de dicha ley se ha ejecutado respetando escrupulosamente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concluido que en el presente caso el derecho fundamental afectado por la actuación de los agentes de la Guardia Civil es el derecho a la intimidad personal (art. 18.1 CE), por haberse accedido a una agenda personal, y no el derecho al secreto de las comunicaciones (art. 18.3 CE), por haberse accedido a datos de una eventual comunicación telefónica que pudiera haber mediado el recurrente y la coimputada, se pone de manifiesto que el demandante no es el titular del derecho fundamental a la intimidad personal cuya lesión se aduce. Ahora bien, esa circunstancia no impediría apreciar un interés legítimo en el recurrente a que se analice dicha invocación en la medida en que, mediatamente, hubiera podido verse afectado su derecho a un proceso con todas las garantías (art. 24.2 CE), en su concreta dimensión, ya reiterada por este Tribunal, de prohibición de utilización como elementos probatorios de cargo de pruebas obtenidas, directa o indirectamente, con vulneración de derechos fundamentales (por todas, STC 206/2007, de 24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antes de entrar a analizar la eventual vulneración del derecho a la intimidad de un tercero por la forma de acceder a la agenda telefónica, es preciso determinar si, en los términos expuestos, el conocimiento obtenido con dicho acceso ha sido relevante como prueba de cargo, directa o indirecta, en el conjunto de la actividad probatoria valorada por los órganos judiciales para considerar enervada la presunción de inocencia del recurrente, toda vez que sólo en ese caso podría haber resultado afectado el derecho del recurrente a un proceso con todas las garantías (art. 24.2 CE). A esos efectos, conviene también recordar como el Tribunal Europeo de Derechos Humanos ha reiterado que para determinar si la utilización como pruebas de informaciones obtenidas con vulneración de los derechos a la intimidad personal, domiciliaria y a la correspondencia ha privado al conjunto del proceso de lasa necesarias garantías y de su proceso equitativo, más allá de la cuestión de si la concreta prueba tuvo una influencia decisiva en el resultado de la acción penal, se ha de atender a todas las circunstancias de la causa y si se han respetado los derechos de la defensa y cuál es la calidad e importancia de los elementos en cuestión (por todas, STEDH de 17 de enero de 2012, caso Alony Kate c. España, § 66). Igualmente, también debe resultar relevante en esta valoración destacar que, conforme ha reiterado este Tribunal, en supuestos de declaración autoincriminatoria no cabe apreciar una eventual conexión de antijuridicidad con otros medios de prueba obtenidos con vulneración de derechos fundamentales en atención a las propias garantías constitucionales que rodean la práctica de dichas declaraciones, que permite afirmar su espontaneidad y voluntariedad, y porque la admisión voluntaria de los hechos no puede considerarse un aprovechamiento de la lesión del derecho fundamental (por todas, STC 128/2011,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 sido puesto de manifiesto más ampliamente en los antecedentes, ha quedado acreditado que si bien la información obtenida con el acceso a la agenda telefónica de la coimputada fue relevante en un principio para considerar acreditada la existencia de un conocimiento y relación previa de dicha coimputada con el recurrente, esta circunstancia, con posterioridad, devino independientemente acreditaba en la vista oral a través de su reconocimiento por ambos acusados. De ese modo, en la Sentencia de instancia se llega a afirmar que “aunque se admitiera la nulidad de la diligencia de consulta de la agenda del teléfono … ello no sería suficiente para decretar la nulidad del resto de pruebas, ya que se ha admitido por ambos acusados … que se llamaron mutuamente y, en cualquier caso, la responsabilidad criminal de ambos puede perfectamente inferirse a partir de otras pruebas independientes, por lo que no existiría la conexión de antijuridicidad que es precisa para decretar dicha nulidad del resto de pruebas, conforme al art. 11 de la Ley Orgánica del Poder Judicial” (fundamento de Derecho séptimo). Igualmente, también en la Sentencia de casación, al analizarse la invocación del derecho a la presunción de inocencia, se destaca que la actividad probatoria desarrollada para considerar acreditada la circunstancia de que el recurrente y la coimputada se conocieran previamente, era “no sólo por la existencia del número telefónico del recurrente en la agenda telefónica de la conductora del vehículo … sino porque, tras ciertas contradicciones, ambos acusados llegaron a reconocer que sí se habían visto con anterioridad, incluso que llegaron a tomar un café y a conversar ante de los hechos enjuiciados”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verificado que la información obtenida a través de la consulta de la agenda telefónica de la coimputada quedó limitada a establecer la existencia de una previa relación de ésta con el recurrente, pero que esa circunstancia ha sido considerada probada en las resoluciones impugnadas de manera independiente a dicha información a partir de las propias declaraciones de dicha coimputada y del recurrente, debe concluirse que, al no apreciarse el carácter relevante de esta prueba en el conjunto de la actividad probatoria de cargo desarrollada para alcanzar la convicción judicial sobre la culpabilidad del recurrente, la eventual vulneración del derecho a la intimidad de un tercero no determinaría la vulneración de su derecho a un proceso con todas las garantías (art. 24.2 CE). Ello exime de la necesidad de entrar a analizar si el acceso a la agenda telefónica por parte de los agentes de la Guardia Civil supuso la vulneración aducida del derecho a la intimidad de la coimputada.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vulneración del derecho a un proceso con todas las garantías que el recurrente basaba en que el acervo probatorio se había conformado a partir de una prueba obtenida ilícitamente, es preciso entrar en la alegación referida a la vulneración del derecho a la presunción de inocencia (art. 24.2 CE), que el recurrente fundamenta en la insuficiencia probatoria para enervar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este Tribunal ha reiterado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por un lado, en que la Constitución no atribuye esa tarea de valoración a este Tribunal, que no está incluida en las de amparo del derecho a la presunción de inocencia, y, por otro, en que el proceso constitucional no permite el conocimiento preciso y completo de la actividad probatoria, ni prevé las garantías necesarias de publicidad, oralidad, inmediación y contradicción que deben rodear dicho conocimiento para la adecuada valoración de las pruebas.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127/2011, de 18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más detenidamente en los antecedentes, las resoluciones judiciales han considerado acreditada la participación del recurrente en los hechos enjuiciados, al margen del hecho objetivo de que el vehículo era robado y de que aparecían alterados sus documentos y el número de bastidor, a partir de la declaración de ambos imputados, en cuanto a que se conocían previamente, y de la declaración de los agentes de la Guardia Civil y del comisario de Policía, en cuanto al comportamiento obstruccionista desarrollado por el recurrente respecto del intento de la Guardia Civil por controlar el vehículo conducido por la coimputada, incluyendo la circunstancia de que las certificaciones emitidas sobre uso de la aplicación informática de vehículos sustraídos desmentían su declaración sobre la consulta de los datos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limitada posición que necesariamente debe asumir este Tribunal en el control del respeto al derecho a la presunción de inocencia, una vez constatado que hubo una amplia actividad probatoria de cargo desarrollada en la vista oral con las debidas garantías y que, además, fue valorada a través de un proceso argumental razonado y acorde con las reglas del criterio humano para entender acreditados todos los elementos constitutivos de la infracción penal por la que fue condenado el recurrente, deben también rechazarse, en el sentido interesado por el Ministerio Fiscal, los motivos de amparo alegados por el recurrente de que hubo una valoración irrazonable de las pruebas practicadas. Igualmente, también hay que destacar que los órganos judiciales han procedido a ponderar expresamente la versión exculpatoria ofrecida en su defensa por el acusado, declarando totalmente infundada la explicación de que su anómalo comportamiento y los errores que pudo cometer se debían a las rencillas existentes entre los agentes de la Guardia Civil y los de la Policía Nacional, y rechazando asimismo que las declaraciones vertidas en el juicio oral por los agentes estuvieran motivadas por tal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 motivo de amparo denuncia la vulneración del derecho a no sufrir indefensión (art. 24.1 CE) y a utilizar los medios de prueba (art. 24.2 CE), en primer lugar, por no haberse traído a juicio el teléfono móvil de la persona coimputada, ni constar el mismo en la causa como pieza de convicción y, en segundo lugar, por haberse rechazado la solicitud de que se incorporaran determinadas certificaciones de acceso a la aplicación informática utilizada para la localización e identificación de vehículos con datos identificativos alterados.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recurrente alega la lesión del derecho a la tutela judicial efectiva sin indefensión (art. 24.1 CE) y al propio tiempo la del derecho a utilizar los medios de prueba pertinentes para la defensa (art. 24.2 CE), su queja ha de entenderse referida más específicamente a este último derecho, debiendo ser analizada desde esa perspectiva, tal como se ha hecho en ocasiones similares (por todas, STC 80/2011, de 6 de junio, FJ 3). A ese respecto, este Tribunal ha reiterado que la vulneración del derecho a utilizar los medios de prueba pertinentes para la defensa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(por todas, STC 14/2001,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ausencia del terminal telefónico en el juicio oral pese a la solicitud del recurrente, y la consiguiente imposibilidad de contrastar si el número de teléfono móvil del actor figuraba registrado en su agenda de contactos, tal como se argumentó en las resoluciones judiciales impugnadas, no puede ser atribuida a los órganos judiciales, dado que, tras la inicial y momentánea incautación del teléfono por parte de los agentes de la Guardia Civil, le fue devuelto a la persona coimputada, quien, no habiendo acudido a la comparecencia policial fijada al día siguiente, estuvo tres años en paradero desconocido hasta que fue finalmente localizada y detenida. En cualquier caso, como señala el Ministerio Fiscal, este elemento probatorio no habría sido decisivo para la defensa, habida cuenta de que los datos recopilados en la agenda del teléfono pueden borrarse con facilidad y porque transcurridos cuatro años desde que tuvieron lugar los hechos, ninguna garantía había ni de que tal teléfono existiera ni de que no se hubieran borrado los datos registrados en su memoria.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para descartar esta vulneración en relación con las solicitudes de diversas certificaciones sobre el acceso a la aplicación informativa, basta con poner de manifiesto, tal como se destaca en la Sentencia de casación, que dicha prueba sí fue practicada, si bien con un resultado contrario a la versión exculpatoria que pretendía probar el actor. Así, la información proporcionada por el responsable de dicha aplicación informática, a instancias de la defensa, fue que el día de los hechos el recurrente no comprobó la matrícula del vehículo al que permitió el paso por la frontera, aunque sí lo había hecho el día anterior, usando la clave de otro agente. El demandante reconoce que sí se remitieron ciertos certificados, pero denuncia que no fueron aportados todos los solicitados por esa parte, y necesarios para su defensa. Sin embargo, tan escueta argumentación, que no concreta qué documentos fueron los no remitidos ni justifica su valor probatorio, no cumple con la carga de argumentar en qué ha radicado la indefensión y por qué las pruebas que entiende denegadas habrían sido decisivas para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vulneración aducida por el recurrente ha sido la del derecho a no sufrir dilaciones indebidas (art. 24.2 CE), que el recurrente argumenta en la indebida inaplicación de una circunstancia atenuante basada en la concurrencia del excesivo tiempo en el enjuiciamiento de los hechos. Al margen de que es doctrina reiterada de este Tribunal que carece de viabilidad la denuncia del derecho a no sufrir dilaciones indebidas una vez que el procedimiento ha finalizado (por todas, STC 126/2011, de 18 de julio, FJ 5), si se toma en consideración el presupuesto fáctico y jurídico en que el recurrente sustenta la invocación de este derecho, su encaje constitucional más correcto es el derecho a la tutela judicial efectiva (art. 24.1 CE). A ese respecto, este Tribunal ha destacado que la apreciación de la concurrencia de circunstancias eximentes o atenuantes de la responsabilidad penal es una cuestión de estricta legalidad cuya resolución corresponde a los órganos judiciales competentes por lo que sólo podrá considerarse vulnerado el art. 24.1 CE cuando la respuesta de los órganos judiciales a tal pretensión hubiera sido arbitraria, manifiestamente irrazonable, incursa en error patente o carente de toda motivación (por todas, STC 5/2010, de 7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lectura de las resoluciones impugnadas permiten descartar la vulneración aducida, toda vez que, entre otros argumentos, han rechazado la aplicación de la atenuante solicitada con fundamento en que de los casi cinco años en que tardó la causa en llegar a juicio, tres de ellos fueron debidos al ignorado paradero de la otra persona imputada, lo que provocó el sobreseimiento provisional de las actuaciones, no siendo por tanto imputable la paralización de la causa, que era necesaria para no romper su continencia y que ambos coimputados fueran juzgados en un mismo proceso, al órgano judicial. Esta respuesta judicial no puede considerarse arbitraria, en tanto no se manifiesta como resultado del mero voluntarismo judicial ni expresa un proceso deductivo irracional o absurdo.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rechazo de este último motivo de recurso, determina que deba ser íntegramente denegado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Andrés Domínguez Villegas.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