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124</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18 de junio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diciembre de 2011 tuvo entrada en este Tribunal escrito de la Procuradora de los Tribunales, doña Aurora Gutiérrez Martín, actuando en nombre y representación de doña Ana Fernández Martín, mediante el que interpuso recurso de amparo contra la Sentencia 279/2011, de 18 de noviembre, dictada por el Juzgado de lo Contencioso-Administrativo núm. 1 de Madrid, desestimatoria del recurso contencioso-administrativo núm. 861-2009 interpuesto contra la resolución sancionadora del Director General de Movilidad del Ayuntamiento de Madrid de 16 de julio de 2009 por la que se le imponía una multa de 301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alega en su demanda que la resolución impugnada vulnera el derecho a la legalidad sancionadora (art. 25.1 CE) porque cumplió en todo momento con su obligación de identificar al conductor de forma suficiente y precisa para que el Ayuntamiento pudiera dirigir contra él el procedimiento sancionador. Invoca asimismo la vulneración del derecho a la presunción de inocencia (art. 24.2 CE) que sólo podría verse, en su opinión, enervado por una conducta evasiva o reticente del propietario del vehículo que entiende no ha concurrido en este caso. Finalmente, pone de manifiesto la vulneración del derecho a la igualdad en la aplicación de la ley (art. 14 CE) ya que la Sentencia se habría pronunciado en sentido distinto a las diferentes Sentencias del Tribunal Constitucional en esta materia citando, en concreto, la STC de 12 de julio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la recurrente en amparo solicita se acuerde la suspensión de la ejecución del acto administrativo y de la Sentencia impugnada conforme a lo dispuesto en el art. 56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sendas providencias de 19 de abril de 2012, la Sala Segunda de este Tribunal acordó admitir a trámite la demanda de amparo, y ordenar que se formase la presente pieza separada de suspensión concediendo a la demandante y al Ministerio Fiscal, conforme a lo dispuesto en el art. 56 LOTC,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mediante escrito registrado en este Tribunal el 11 de mayo de 2012 evacuó el trámite de alegaciones. Recuerda con carácter preliminar la doctrina constitucional, indicando que la suspensión es una medida excepcional de aplicación restrictiva siendo la regla general la no suspensión salvo que la ejecución de la Sentencia recurrida ocasione un perjuicio irreparable, real y efectivo que pudiera hacer perder al recurso su finalidad; es decir, cuando el restablecimiento del recurrente en el derecho constitucional vulnerado sea tardío e inefectivo. Esta decisión exige una ponderación de los intereses generales y los derechos fundamentales de terceros y del interés particular del demandante de amparo que alega, a su vez, la vulneración de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entiende el Ministerio Fiscal que la demandante de amparo no ha acreditado el perjuicio que habría de sufrir en el caso de que se procediera a la ejecución del acto administrativo impugnado, razón por la que la petición debe ser desestimada y añade que por ser la resolución impugnada una multa de 301,00 euros resulta de aplicación la doctrina general de que los pronunciamientos de efectos meramente patrimoniales, por su contenido económico, no causan, en principio, perjuicios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demandante de amparo no presentó alegaciones en el plazo conferido al efecto por la providencia de la Sala Segunda de 19 de abril de 2012.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de la Ley Orgánica del Tribunal Constitucional (LOTC), “la interposición del recurso de amparo no suspenderá los efectos del acto o sentencia impugnados”. Este primer apartado ha de conectarse con lo previsto en los demás apartados del citado art. 56 LOTC, particularmente con el segundo que fija: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Este Tribunal ha declarado (por todos, ATC 16/2012, de 30 de enero, FJ 1)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de 25 de mayo,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adopción de esta medida cautelar sólo resulta pertinente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1/2011, de 14 de febrero, FJ 3; y ATC 16/2012, de 30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que nos ocupa, tal y como señala el Ministerio Fiscal, la demandante de amparo ni alega ni acredita los perjuicios irreparables que la ejecución del acto administrativo impugnado, una multa de 301 euros, podría ocasionarle, pues se limita en su petición de suspensión a remitirse a lo establecido en el art. 56 LOTC sin que, posteriormente, en el plazo concedido al efecto presentara alegaciones. Así pues, debemos entender que el perjuicio que ocasiona la ejecución de la resolución sancionadora es única y exclusivamente económico resultando por ello de aplicación la doctrina expuesta en el fundamento jurídico anterior en cuanto que la ejecución del acto administrativo cuya legalidad fue confirmada por la Sentencia recurrida en amparo no impediría la restauración efectiva de los derechos fundamentales que la demandante estima conculcados al ser posible la restitución íntegra de lo ejecutado, razón por la cual debemos denegar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