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18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David García Riquelme, en nombre de Vázquez y Castro, S.L., Inmobiliaria Alozaima, S.L., Grupo Acraba, S.L., E.S. El Moro, S.L., Estagas, S.L., y Grossen S.A., se presentó recurso de amparo el día 25 de enero de 2012 que se registró con el número 411-2012.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9 de mayo de 2012, por el mismo Procurador señor García Riquelme,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acordó, por diligencia de ordenación de fecha 10 de mayo siguiente, dar traslado al Ministerio Fiscal para alegaciones sobre el desistimiento pretendido, lo que hizo por escrito de 29 de mayo último,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prevista en los arts. 80 y 86 de nuestra Ley Orgánica,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dado el carácter rogado que, en principio, tiene la jurisdicción de amparo constitucional [arts. 161.1 b) CE y 41.3 de la Ley Orgánica del Tribunal Constitucional],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y apartado de la prosecución del presente recurso a Vázquez y Castro, S. L., Inmobiliaria Alozaima, S.L., Grupo Acraba, S.L., E.S. El Moro S.L., Estagas, S.L., y Grossen, S.A.,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