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16 de julio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4017-2009, promovido por don Ignacio Pujana Alberdi, representado por el Procurador de los Tribunales don Javier Cuevas Rivas y asistido por el Abogado don Iker Urbina Fernández, contra la providencia de 16 de febrero de 2009 de la Sección Tercera de la Sala de lo Penal de la Audiencia Nacional, dictada en la ejecutoria núm. 32-1993, por la que se acuerda fijar como fecha de licenciamiento definitivo del recurrente el día 28 de junio de 2021, y contra el Auto de 17 de marzo de 2009 que desestima el recurso de súplica interpuesto frente a dicha providencia.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abril de 2009, el Procurador de los Tribunales don Javier Cuevas Rivas, en nombre y representación de don Ignacio Pujana Alberdi, y bajo la dirección del Letrado don Iker Urbina Fernández,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Sentencia firme de 24 de marzo de 1993 de la Sección Tercera de la Sala de lo Penal de la Audiencia Nacional (rollo de Sala núm. 24-1984, sumario núm. 24-1984 del Juzgado Central de Instrucción núm. 4), a varias penas de privación de libertad que sumaban en total setenta y nueve años, con el límite máximo de treinta años de cumplimiento efectivo establecido en el art. 70, regla segunda, del Código penal de 1973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la misma Sala y Sección de la Audiencia Nacional de 6 de noviembre de 1996 se acordó que no procedía conforme al nuevo Código penal de 1995 (CP 1995) revisar las penas impuestas al recurrente por la Sentencia de 24 de marzo de 1993, toda vez que la pena cumplida con los beneficios penitenciarios previstos en el art. 100 CP 1973 equivale en términos de cumplimiento real a una pena posible de imponer según el nuevo Código penal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14 de enero de 2009, el centro penitenciario en el que se encontraba interno el recurrente elevó a la Sala propuesta de liquidación de condena, en la que se incluye el cálculo de redenciones obtenidas, fijándose como fecha de licenciamiento definitivo el 28 de junio de 2021, si se aplica el criterio sentado por la Sentencia de la Sala de lo Penal del Tribunal Supremo núm. 197/2006, de 28 de febrero; o bien el 23 de febrero de 2009, si se aplica el criterio anterior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16 de febrero de 2009 la Sección Tercera de la Sala de lo Penal de la Audiencia Nacional acordó, a la vista de la propuesta formulada por el centro penitenciario, que, de conformidad con el criterio establecido por la Sentencia de la Sala de lo Penal del Tribunal Supremo núm. 197/2006, de 28 de febrero, el licenciamiento definitivo del penado deberá tener lugar el 28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providencia interpuso el demandante de amparo recurso de súplica, invocando la lesión de derecho a la tutela judicial efectiva en la vertiente de intangibilidad de las resoluciones judiciales firmes (art. 24.1 CE), en relación con el derecho a la libertad (art. 17.1 CE) y el principio de legalidad penal, en cuanto proscribe la retroactividad de las normas penales desfavorables (art. 25.1 CE); asimismo la vulneración del derecho a la igualdad en la aplicación de la ley (art. 14 CE), también en relación con el derecho a la libertad (art. 17.1 CE) y la vulneración de los derechos a la defensa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súplica fue desestimado por Auto de 17 de marzo de 2009 de la misma Sala y Sección, en el que se rechaza que la aplicación al caso del criterio sentado por la citada Sentencia de la Sala de lo Penal del Tribunal Supremo núm. 197/2006 haya ocasionado vulneración alguna de los derechos fundamentales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providencia de 16 de febrero de 2009 y el Auto de 17 de marzo de 2009 que la confirma se interpone el presente recurso de amparo. Con posterioridad a su interposición, la Sección Tercera de la Sala de lo Penal de la Audiencia Nacional acordó por providencia de 5 de junio de 2009 (rectificando otra anterior de 30 de abril de 2009) aprobar como nueva fecha de licenciamiento definitivo del recurrente en amparo el 22 de febrero de 2018, al abonarle el periodo de prisión sufrido en Francia (desde el 2 de marzo de 1988 al 7 de octubre de 1991) como consecuencia del proceso de extradición instado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justificar la especial trascendencia constitucional del recurso en la necesidad de un pronunciamiento sobre la doctrina de la Sala de lo Penal del Tribunal Supremo núm. 197/2006, de 28 febrero (“doctrina Parot”), porque supone un cambio radical respecto de la jurisprudencia precedente, al computar la redención de penas por el trabajo no sobre el máximo efectivo de cumplimiento de treinta años de las penas acumuladas sino sobre cada una de las penas impuestas (argumentación que se amplía mediante escrito presentado por la representación procesal del recurrente en el Registro General de este Tribunal con fecha 9 de abril de 2010), el recurrente fundamenta su demanda de amparo en los siete motivos o quejas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motivo de amparo denuncia el recurrente la vulneración del derecho a la tutela judicial efectiva en la vertiente de intangibilidad de las resoluciones judiciales firmes (art. 24.1 CE), en relación con el derecho a la libertad (art. 17.1 CE). Sostiene el recurrente que el nuevo criterio sobre el cómputo de las redenciones sobre la totalidad de la condena que realiza la Sala de lo Penal del Tribunal Supremo en su Sentencia núm. 197/2006, aplicado a su caso por la Audiencia Nacional en las resoluciones impugnadas en amparo, supone desconocer lo resuelto con carácter firme en el Auto de 6 de noviembre de 1996, en el que el Tribunal sentenciador determinó que el cumplimiento de la condena debía serlo conforme al Código penal de 1973, por ser más favorable que el Código penal de 1995. De este modo, la aplicación de las redenciones penas por el trabajo al límite máximo de cumplimiento de treinta años determina un importante acortamiento de su condena, que no puede ser alterado en su perjuicio, retrasando la fecha de puesta en libertad, por la aplicación de un nuevo criterio jurisprudencial desfavorable al penado que atenta contra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motivos de amparo segundo, cuarto y quinto se aduce la vulneración del principio de legalidad penal (art. 25.1 CE, en conexión con el art. 9.3 CE), por la interpretación realizada por la Audiencia Nacional de los arts. 70.2 y 100 CP 1973 y el art. 988 de la Ley de enjuiciamiento criminal (LECrim), así como de los arts. 66 del Reglamento de prisiones de 1956 y del art. 202 del Reglamento penitenciario actual, en relación con el derecho a la libertad (art. 17.1 CE). Según el recurrente, la interpretación sentada por la Sala de lo Penal del Tribunal Supremo en su Sentencia núm. 197/2006 y aplicada en el presente caso por la Audiencia Nacional en las resoluciones judiciales impugnadas, es ajena al tenor literal de dichas normas, a las pautas axiológicas que conforman el ordenamiento constitucional y a los modelos de argumentación aceptados por la comunidad jurídica, y quiebra la interpretación jurisprudencial realizada al respecto a lo largo de toda la historia penitenciaria (conforme a la cual la redención de penas por el trabajo se abonaba al tiempo efectivo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se alega la vulneración del derecho a la igualdad en la aplicación de la ley (art. 14 CE), en relación con el art. 14 del Convenio europeo para la protección de los derechos humanos y las libertades fundamentales (CEDH), y con el derecho a la libertad (art. 17.1 CE), porque las resoluciones judiciales impugnadas incurren en un injustificado y arbitrario cambio de criterio al aplicar la Sentencia de la Sala de lo Penal del Tribunal Supremo núm. 197/2006, que se aparta de forma arbitraria e irrazonable de su consolidado criterio jurisprudencial precedente sobre el cómputo de la redención de penas por el trabajo,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sexto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CEDH y por el art. 14.1 y 5 del Pacto internacional de derechos civiles y políticos (PIDCP), todo ello en relación con el derecho a la libertad (art. 17.1 CE). Sostiene el recurrente que la Audiencia Nacional acordó en las resoluciones impugnadas la aplicación de la nueva doctrina de la Sala de lo Penal del Tribunal Supremo sentada en la Sentencia núm. 197/2006, que establece un nuevo criterio en cuanto al cómputo de las redenciones por trabajo que empeora la situación del reo y obliga al cumplimiento íntegro de la condena de treinta años, decisión de la que el recurrente no ha podido defenderse ni someterla a contradicción. Entiende además que ello vulnera el principio acusatorio, porque el órgano judicial asume funciones acusatorias constitucionalmente vedadas que comprometen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alega la vulneración del derecho a la libertad (art. 17.1 CE), en relación con los arts. 5 y 7.1 CEDH y los arts. 9.1 y 5 y 15.1 PIDCP, así como en conexión con el principio de orientación de las penas privativas de libertad a la reeducación y reinserción social (art. 25.2 CE). Tras resaltar que, conforme a la doctrina constitucional, la redención de penas por el trabajo afecta al derecho a la libertad personal, sostiene el recurrente, con cita del Voto particular a la Sentencia de la Sala de lo Penal del Tribunal Supremo núm. 197/2006, que el cambio de criterio jurisprudencial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el otorgamiento del amparo, solicitando por otrosí en la demanda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marzo de 2012 la Sala Primera de este Tribunal acordó la admisión a trámite de la demanda de amparo y, a tenor de lo dispuesto en el art. 51 de la Ley Orgánica del Tribunal Constitucional (LOTC), requerir atentamente a la Sección Tercera de la Sala de lo Penal de la Audiencia Nacional para que en el plazo de diez días remitiera testimonio de las actuaciones correspondientes a la ejecutoria núm. 32-1993,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la formación de pieza separada para la tramitación del incidente sobre la suspensión solicitada y conceder al recurrente y al Ministerio Fiscal un plazo común de tres días para que alegasen lo que estimasen pertinente sobre dicha suspensión. Evacuado dicho trámite de alegaciones la Sala dictó el ATC 89/2012, de 21 de mayo, denegando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3 de mayo de 2012 se tuvieron por recibidos los testimonios de las actuaciones remitidos por la Sección Tercera de la Sala de lo Penal de la Audiencia Nacional y se procedió, conforme a lo establecido en el art. 52.1 LOTC, a dar vista de las actuaciones por plazo común de veinte días al Ministerio Fiscal y al demandante de amparo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presentó su escrito de alegaciones en este Tribunal el 28 de mayo de 2012, en el que ratifica las formuladas en la demanda de amparo, añadiendo que, en aplicación de la doctrina sobre un caso, que considera idéntico al suyo, contenida en la reciente STC 57/2012, de 29 de marzo, debe llegarse a la conclusión de que también en su caso se ha producido una vulneración del derecho a la intangibilidad de las resoluciones judiciales firmes, que forma parte del derecho a la tutela judicial efectiva garantizado por el art. 24.1 CE, en relación con el derecho a la libertad (art. 17.1 CE), lo que debe conducir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en este Tribunal su escrito de alegaciones el 18 de junio de 2012. Considera en primer lugar el Fiscal que en el presente caso, y como ya se apreciara en casos similares al presente en SSTC 58/2012, 60/2012 y 63/2012, de 29 de marzo todas ellas, concurre el óbice de falta de agotamiento de la vía judicial [art. 44.1 a) LOTC, en relación con el art. 50.1 a) LOTC], lo que debe determinar la inadmisión del recurso de amparo. Ello es así por cuanto el demandante de amparo no recurrió en casación, conforme a lo exigido por el art. 988 LECrim, contra el Auto de la Sección Tercera de la Sala de lo Penal de la Audiencia Nacional de 17 de marzo de 2009 que desestimó el recurso de súplica interpuesto contra la providencia de 16 de febrero de 2009, que aprobaba la propuesta de licenciamiento definitivo para el 28 de junio de 2021, cuando resulta que desde el Auto del Tribunal Supremo de 7 de abril de 2008 era conocido que las resoluciones que aprueban las liquidaciones de condena y licenciamientos son recurribles en casación, como se recuerda en la citada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en el que no fuera apreciada la concurrencia de la causa de inadmisión señalada, el Fiscal interesa la denegación del amparo, por entender que las resoluciones impugnadas no infringen los derechos fundamentales invocados por el recurrente, conforme a los razonamientos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rechaza el Fiscal con cita de los razonamientos contenidos en la STC 55/2012, FJ 3, que se haya producido lesión alguna de los derechos fundamentales de naturaleza procesal que se invocan en la demanda de amparo y que esencialmente se centran en pretendida indefensión causada al recurrente por no haberle dado previa audiencia antes de dictar la providencia de 16 de febrero de 2009, que aplicó la doctrina de la Sentencia de la Sala Segunda del Tribunal Supremo núm.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los motivos de la demanda que se refieren a la cuestión de fondo, y que se centran en combatir la aplicación que han hecho las resoluciones impugnadas de la doctrina establecida en la Sentencia de la Sala Segunda del Tribunal Supremo núm. 197/2006, la cual imputa los beneficios penitenciarios a cada una de las condenas impuestas en el mismo o en diferentes procesos y no al límite de cumplimento de treinta años que establecía el art. 70.2 CP 1973, señala el Fiscal que también estas quejas deben ser descartadas, a la vista de la doctrina sentada, entre otras, en las SSTC 48/2012, FFJJ 4, 5 y 6, y 66/2012, FFJJ 5 y 6, que cita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la anterior doctrina constitucional al presente caso, y en particular por lo que se refiere a la alegada lesión del derecho a la tutela judicial efectiva en la vertiente del derecho de intangibilidad de las resoluciones firmes, señala el Fiscal que el pretendido efecto de intangibilidad en cuanto al criterio de cómputo de las redenciones por trabajo se predica por el recurrente del Auto firme de 6 de noviembre de 1996, que declaró que no procedía la revisión de la condena impuesta en la Sentencia de 24 de marzo de 2003, al considerar que más favorable el Código penal de 1973 que el Código penal de 1995. Ahora bien —continúa el Fiscal— lo cierto es que no es posible considerar que en dicho Auto se contenga una decisión sobre el modo de cómputo de los beneficios penitenciarios de redención de condena del art. 100 CP 1973, pues esta resolución se limita a realizar un análisis comparativo global de las penas señaladas en abstracto por los dos Códigos penales para las conductas por las que el recurrente había sido condenado y se concluye que siendo de aplicación los beneficios de condena del art. 100 CP 1973, las penas impuestas serían también imponibles según el nuevo Código penal de 1995. No se infringe, por ello, el principio de intangibilidad por las resoluciones judiciales impugnadas en amparo, que, acogiendo el criterio establecido en la Sentencia de la Sala Segunda del Tribunal Supremo núm. 197/2006, aprueban el licenciamiento definitivo del recurrente para el 28 de junio de 2021, puesto que tales resoluciones no revisan ninguna situación jurídica establecida en una anterior resolución firme sobre el cómputo y aplicación de los beneficios de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julio de 2012 se acordó señalar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17 de marzo de 2009 de la Sección Tercera de la Sala de lo Penal de la Audiencia Nacional, que desestimó el recurso de súplica presentado contra la anterior providencia de 16 de febrero de 2009 por la que se acordó fijar como fecha para el licenciamiento definitivo del recurrente el día 28 de junio de 2021, de conformidad con el criterio establecido por la Sentencia de la Sala de lo Penal del Tribunal Supremo núm. 197/2006, de 28 de febrero, según la cual, la redención de penas por el trabajo ha de computarse sobre cada una de las penas impuestas y no sobre el límite máximo de cumplimiento efectivo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con la argumentación que ha quedado expuesta en los antecedentes de esta resolución, la vulneración de los derechos fundamentales a la tutela judicial efectiva en la vertiente de intangibilidad de las resoluciones judiciales firmes (art. 24.1 CE); a la legalidad penal (art. 25.1 CE en conexión con el art. 9.3 CE); a la defensa, a ser informado de la acusación y a un proceso con todas las garantías (art. 24.2 CE); a la igualdad en la aplicación de la ley (art. 14 CE); así como del principio de orientación de las penas privativas de libertad a la reeducación y reinserción social (art. 25.2 CE); todo ello en relación con el derecho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inadmisión del recurso de amparo por considerar incumplido el requisito del agotamiento de la vía judicial [arts. 44.1 a) y 50.1 a) de la Ley Orgánica del Tribunal Constitucional (LOTC)], y subsidiariamente su desestimación por entender que las resoluciones judiciales impugnadas no han vulnerado los derechos fundamentales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este Tribunal tiene reiteradamente declarado, 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18/2002, de 28 de enero, FJ 3; 158/2002, de 16 de septiembre, FJ 2; 69/2004, de 19 de abril, FJ 3; y 89/2011,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esos presupuestos inexcusables para la admisibilidad de toda demanda de amparo se encuentra la exigencia establecida por el art. 44.1 a) LOTC de “que se hayan agotado todos los medios de impugnación previstos por las normas procesales para el caso concreto dentro de la vía judicial”.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Así, el requisito de agotar la vía judicial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la Constitución reserva a la jurisdicción ordinaria (art. 117.3 CE) y al propio tiempo para no desnaturalizar la función jurisdiccional propia de este Tribunal como intérprete supremo de la Constitución (entre otras muchas, SSTC 85/1999, de 10 de mayo, FJ 5; 211/1999, de 29 de noviembre, FJ 2; 71/2000, de 13 de marzo, FJ 3; 128/2002, de 3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las actuaciones conduce a apreciar la concurrencia del óbice aducido por el Ministerio Fiscal en su escrito de alegaciones, a la vista de lo declarado por el Pleno de este Tribunal en casos similares en las recientes SSTC 58/2012, 60/2012 y 63/2012, todas ellas de 29 de marzo, lo que determina la inadmisión del presente recurso de amparo por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demandante de amparo impugna la providencia de 16 de febrero de 2009 de la Sección Tercera de la Sala de lo Penal de la Audiencia Nacional, por la que se aprueba su licenciamiento definitivo para el día 28 de junio de 2021, resolución confirmada en súplica mediante el Auto de 17 de marzo siguiente, igualmente impugnado en amparo. Ahora bien, el recurrente acude directamente ante este Tribunal sin hacer uso del recurso de casación ante la Sala de lo Penal del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casi un año antes de dictarse las resoluciones impugnadas en amparo mediante el Auto de la Sala de lo Penal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abona la recurribilidad en casación de los Autos de licenciamiento definitivo en cuanto concretan y fijan definitivamente el máximo de cumplimiento respecto de las penas impuestas, fijación de criterio jurisprudencial que no podía ser ignorada tanto tiempo después por la representación procesal y la defensa letrada del demandante de amparo (SSTC 58/2012, FJ 3; 60/2012, FJ 3 y 63/2012,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Ignacio Pujana Alberdi.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