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agosto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septiembre de 2010, la Procuradora de los Tribunales doña María Teresa Vidal Bodí, en nombre y representación de doña María Jesús Aneiros Martínez, doña Lucía Fidalgo Aneiros y doña Begoña Fidalgo Aneiros, y bajo la dirección del Letrado don Jose Luis Piñeiro Vidal, interpuso recurso de amparo contra el Auto de la Sección Primera de la Audiencia Provincial de Pontevedra de 8 de julio de 2010, dictado en el rollo de Sala núm. 443-2010, por el que se desestima el recurso de queja interpuesto contra el Auto del Juzgado de lo Mercantil núm. 2 de Pontevedra de 19 de abril de 2010, por el que se desestima el recurso de reposición interpuesto contra el Auto de 22 de marzo de 2010, dictado en la pieza sexta del procedimiento concursal abreviado núm. 128-2008, por el que se acuerda no tener por preparado el recurso de apelación interpuesto contra la Sentencia de 11 de febrero de 2010, por falta de depósito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tercero la suspensión de la ejecución de las resoluciones recurridas, argumentado que no se está ante una resolución judicial de contenido económico y que no existe ningún particular cuyos intereses puedan resultar afectados si se suspende la ejecución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5 de julio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24 de julio de 2012, presentó alegaciones interesando que se denegara la suspensión solicitada. A esos efectos, argumenta, por un lado, que las resoluciones impugnadas tienen un contenido meramente negativo al acordar no tener por preparado el recurso de apelación, por lo que conforme a una consolidada doctrina constitucional no sería susceptible de suspensión al equivaler dicha decisión al adelantamiento de un eventual fallo estimatorio. Por otro lado, también pone de manifiesto que la denegación de la suspensión no haría perder al amparo su finalidad ya que, en caso de estimarse el recurso, el restablecimiento del derecho podría lograrse declarando la nulidad de las resoluciones y la retroacción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recurrentes, por escrito registrado el 16 de julio de 2012, presentaron alegaciones insistiendo en la necesidad de la suspensión de las resoluciones impugnadas para evitar que se irroguen daños y perjuicios de difícil reparación y reiterando que dicha suspensión no produciría perjuicios a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De ello se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un interés constitucionalmente protegido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doctrina, el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ATC 30/2011, de 28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ha hecho especial incidencia, por un lado, en que la acreditación del perjuicio es carga del recurrente, quien debe precisar los concretos perjuicios que de la ejecución se deriven, así como justificar o argumentar razonadamente la irreparabilidad de los mismos (por todos, ATC 199/2010, de 21 de diciembre, FJ 3) y, por otro, que las resoluciones judiciales de mero contenido negativo, como son la que cierran la posibilidad a continuar con un procedimiento o acceder a un recurso, no son susceptibles de suspensión, puesto que de lo contrario equivaldría a adelantar un eventual fallo estimatorio del recurso (por todos, STC 56/2012, de 26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las recurrentes solicitan la suspensión de la decisión judicial por la que se acuerda no tener por preparado un recurso de apelación argumentando que no se está ante una resolución judicial de contenido económico y que no existe ningún particular cuyos intereses puedan resultar afectados si se suspende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 de vacaciones</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6485-2010.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agosto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