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160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12 de septiembre de 2012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13 de junio de 2012, la Procuradora de los Tribunales doña María Teresa Vidal Bodi, en nombre y representación de don Alaid Safer, y bajo la dirección de la Letrada doña María Cruz Hernández Jiménez, interpuso demanda de amparo contra Auto de la Sección Primera de la Sala de lo Contencioso-Administrativo del Tribunal Supremo recaída en recurso de casación núm. 6066-2011 contra Sentencia dictada por la Sección Octava de la Audiencia Nacional en recurso núm. 686-2010.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4 de septiembre de 2012, el Magistrado Excmo. Sr. don Juan José González Rivas manifestó su voluntad de abstenerse en el presente recurso de amparo y todas sus incidencias, por entender que concurría la causa establecida en el artículo 219.11 de la Ley Orgánica del Poder Judicial, supletoria de la Ley Orgánica 2/1979, de 3 de octubre, del Tribunal Constitucional (artículo 80), al haber intervenido en instancia anterior, toda vez que en su condición de Magistrado de la Sala de lo Contencioso-Administrativo del Tribunal Supremo, formó parte de la Sección Primera de la Sala Tercera del Tribunal Supremo que dictó la resolución impugnada en amparo.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José González Rivas en el recurso de amparo núm. 3566-2012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doce de septiembre de dos mil doce.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