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169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septiembre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21 de marzo de 2012, la Procuradora de los Tribunales doña María del Naranco Sevilla Iglesias, en nombre y representación de Mobel Linea, S. L., y bajo la dirección del Letrado don Antonio Martínez Lafuente, interpuso demanda de amparo contra diligencia de ordenación, providencia y Auto de la Sección Primera de la Sala de lo Contencioso-Administrativo del Tribunal Supremo, recaídos en recurso de casación núm. 314-2011 contra Sentencia dictada por la Sección Segunda de la Sala de lo Contencioso-Administrativo de la Audiencia Nacional en recurso núm. 389-2007.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10 de septiembre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2/1979, de 3 de octubre, del Tribunal Constitucional (artículo 80), al haber intervenido en instancia anterior en su condición de Magistrado de la Sala de lo Contencioso-Administrativo del Tribunal Supremo que dictó el Auto de 3 de noviembre de 2011.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del artículo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1660-2012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veintiséis de septiembre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