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septiembre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Francisco Pérez de los Cobos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2363-2010, promovido por don Jokin Mirena Sancho Biurrun, representado por el Procurador de los Tribunales don José Javier Cuervas Rivas y asistido por la letrada doña Amaia Izko Aramendía contra la providencia de la Sección Tercera de la Sala de la Sala de lo Penal de la Audiencia Nacional, de 23 de diciembre de 2009, así como contra el Auto de la misma Sección, de 2 de febrero de 2010, dictados en el expediente de refundición de condenas 3-1998, sobre licenciamiento definitivo del recurrente. Ha intervenido el Ministerio Fiscal ha sido Ponente el Magistrado don Francisco Pérez de los Cobos y Orihuel,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22 de marzo de 2010, don José Javier Cuevas Rivas, Procurador de los Tribunales y de don Jokin Mirena Sancho Biurrun, interpuso recurso de amparo contra la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por la Sección Tercera de la Sala de lo Penal de la Audiencia Nacional (sumario 1-1985 del Juzgado Central de Instrucción núm. 5) como autor de tres delitos de utilización ilegítima de vehículo de motor ajeno con uso de armas y toma de rehenes a tres penas de doce años de prisión mayor y privación del permiso de conducir por cinco años; como autor de un delito de asesinato consumado a la pena de treinta años de reclusión mayor; como autor de dos delitos de robo con intimidación a dos penas de doce años de prisión mayor; por la autoría de un delito de atentado a la pena de veintidós años de reclusión mayor; y como autor de dos delitos de asesinato frustrado a dos penas de veintidós años de reclusión mayor. Del mismo modo, en el sumario 50-1984 del mismo Juzgado Central de Instrucción, la Sección Segunda de la Audiencia Nacional condenó al demandante de amparo como responsable de un delito de utilización ilegítima de vehículo de motor en relación con un delito de robo con homicidio a la pena de veintisiete años de reclusión mayor y accesorias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14 de enero de 1998 la Audiencia Nacional acordó acumular las condenas al darse entre los delitos referidos la conexidad exigida legalmente, “fijándose en una duración de treinta años de privación de libertad el tiempo total de cumplimiento de todas las penas privativas de libertad impuestas en las causas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providencia de 17 de marzo de 2002 se acordó modificar la liquidación de condena inicialmente practicada, fijándose como fecha de cumplimiento el 16 de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9 de octubre de 2009 el centro penitenciario de Zuera interesó de la Audiencia Nacional la aprobación del licenciamiento definitivo del demandante para el día 8 de diciembre de 2009, siendo tal propuesta rechazada por providencia de 2 de noviembre de 2009 por la que, de conformidad con el dictamen del Ministerio Fiscal, se ordenaba a al centro penitenciario realizar la propuesta de licenciamiento definitivo siguiendo los criterios de la STS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criterio establecido por el órgano judicial, la Administración penitenciaria propuso como fecha de licenciamiento definitivo el 16 de agosto de 2019, siendo aprobada la propuesta mediante providencia de 23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providencia dedujo el demandante de amparo recurso de súplica, que fue desestimado mediante Auto de 2 de febrero de 2010 con fundamento en que frente a la interpretación propiciada por la parte había de prevalecer la sentada por el Tribunal Supremo en la Sentencia ya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se refiere al principio de legalidad (art. 25.1 y 2 CE), en relación con la interpretación de los arts. 70.2 y 100 del Código penal (CP) de 1973, así como del art.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1973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se denuncia la vulneración del derecho a la tutela judicial efectiva (art. 24.1 CE), en relación con el derecho a la libertad (art. 17.1 CE). Estima el recurrente que, a raíz de la nueva interpretación de la aplicación de las redenciones de penas por el trabajo sobre la totalidad de las condenas y no sobre la pena resultante de la aplicación de la reducción de condenas (art. 70.2 CP 1973), han creado las resoluciones impugnadas una situación de indefensión e inseguridad jurídica, por cuanto la aprobación de redenciones por parte de los diferentes Juzgados de Vigilancia Penitenciaria, firmes e intangibles, suponían con la interpretación hasta la STS 197/2006, reducciones de condena respecto de los treinta años. Y es que así se interpretaba y aplicaba por todos los órganos judiciales y administrativo-penitenciarios, sin excepción. Las redenciones de pena reconocidas por resoluciones judiciales firmes son abono de condena y por tanto, afectan al derecho a la libertad consagrado en el art. 17 de la Constitución, lo cual implica la existencia de un deber reforzado de motivación, derivado del art. 24.1 CE, que no se cumple en las resoluciones dictadas por el Tribunal de instancia y contra las que ahora se recurre. Ambas resoluciones deberían explicar las razones por las que limitan la libertad demandante y cambian el criterio hasta el momento mantenido, no bastando, en modo alguno, la remisión que realizan a la Sentencia 197/2006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aduce la vulneración del derecho fundamental a la tutela judicial efectiva, establecido en el artículo 24.1 de la Constitución Española, resultante de la vulneración del derecho a la intangibilidad de las resoluciones judiciales firmes, en relación igualmente a los principios de legalidad y seguridad jurídica. Recuerda que en su procedimiento se acordó acumular las condenas impuestas al penado fijándose treinta años de privación de libertad el tiempo total de cumplimiento de la condena. Consecuencia de ello se solicitó por el centro penitenciario la aprobación del licenciamiento definitivo para el día 8 de diciembre de 2009, fecha resultante de la redención de penas por el trabajo a la pena única de treinta años de prisión. En este sentido, argumenta, no sólo existe una expectativa de reducción de la condena y consecuentemente de libertad, sino que nos encontramos con una resolución firme, nunca cuestionada y nunca modificada, por la que se acumulan todas las condenas impuestas en una única, de donde se deriva la correspondiente liquidación de condena y cuya consecuencia es la aplicación a la misma de la institución de la redención de penas por el trabajo. Las resoluciones judiciales ahora impugnadas atrasan gravemente la fecha de licenciamiento definitivo del recurrente y modifican el criterio uniforme que fijaba los criterios para la ejecución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queja el demandante en amparo de la lesión del principio de legalidad (arts. 25.1 y 9.3 CE), por aplicación retroactiva de ley desfavorable; se denuncia que, con esta pretendida nueva interpretación, de facto se está aplicando retroactivamente el art. 78 CP 1995 (que establece que los beneficios penitenciarios y la libertad condicional se apliquen a la totalidad de las penas impuestas en las Sentencias), a un penado bajo el Código penal de 1973, pues éste no contempla la aplicación de las redenciones a la totalidad de las condenas, una previsión que sí realiza el art. 78 CP 1995 y que es desfavorable. También se destaca que las modificaciones legales en esta materia se realizaron, como se pone de relieve en sus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al derecho a la igualdad en la aplicación de la ley (art. 14 CE).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y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criterio aplicado a cientos de presos, en un momento en que la norma (Código penal de 1973) ya está derogada y cuando la nueva interpretación resulta aplicable a un número muy limitado de presos y sin que existan razones fundadas que justifiquen el cambio.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libertad (art. 17.1 CE), tras poner de relieve que, conforme a la jurisprudencia de este Tribunal, la redención de penas por el trabajo afecta al derecho a la libertad (SSTC 31/1999, de 8 de marzo, y 76/2004, de 26 de abril), se denuncia que el mencionado cambio de criterio jurisprudencial contra el reo modifica su expectativa de libertad, implicando un alargamiento de su estancia en prisión, sin base legal ni reglamentaria (se cita de nuevo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Esto queda patente en la inicial liquidación de condena y propuesta de licenciamiento definitivo efectuada por el centro penitenciario, por lo que la denegación del licenciamiento definitivo viola el art. 17 CE, el art. 7.1 del Convenio europeo y el art. 15.1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vulnerado el art. 25.2 CE, en relación con el art. 10.3 PIDCP; se destaca que, de conformidad con el art. 25.2 CE, las penas privativas de libertad han de estar orientadas a la reinserción social, fin al que se orienta la redención de penas por el trabajo como instrumento de tratamiento penitenciario, y que la nueva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2011, la Sala Segunda de este Tribunal acordó la admisión a trámite de la demanda así como, a tenor de lo establecido en el artículo 51 Ley Orgánica del Tribunal Constitucional (LOTC), requerir atentamente a la Sección Tercera de la Sala de lo Penal de la Audiencia Nacional para que remitiera testimonio de las actuaciones correspondientes al expediente de refunción de condenas núm. 3-1998 (ejecutoria núm. 30-1996), interesándose al tiempo que emplazasen a quienes fueron parte en el procedimiento, a excepción del demandante de amparo,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20 de junio de 2011 la Sala Segunda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diligencia de ordenación de 12 de abril de 2012 se acordó dar vista de las actuaciones a las partes personadas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 de julio de 2008 presentó sus alegaciones el Ministerio Fiscal. En ellas aduce en primer término que el recurso es inadmisible por falta de agotamiento de la vía judicial previa, pues el demandante debió recurrir en casación el Auto de 2 de febrero de 2010 que desestimó el recurso de súplica contra la aprobación del licenciamiento definitivo, pues en tal fecha ya se había consolidado la doctrina del ATC de 7 de abril de 2008, según el cual a los Autos sobre aprobación del licenciamiento definitivo les es de aplicación la previsión del art. 988 de la Ley de enjuiciamiento criminal en la medida en que completan la fijación del límite máximo de cumplimiento de penas acumuladas. Por lo demás esa ha sido la postura mantenida por el Pleno del Tribunal Constitucional en la STC 60/2012, de 29 de marzo, seguida luego por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cuestiones de fondo suscitadas, considera el Ministerio Fiscal que la totalidad de las mismas han sido abordadas y rechazadas por este Tribunal, citando a tal efecto los distintos fundamentos jurídicos de la STC 39/2012 en los que las indicadas cuestiones han sido estudiadas.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siguiendo la doctrina sentada por este Tribunal, rechaza que se produjera la aducida vulneración del derecho a la tutela judicial efectiva por desconocimiento de la intangibilidad de las resoluciones judiciales firmes, pues ninguna resolución sobre licenciamiento definitivo se dictó en el proceso a quo de la que quepa predicar la firmeza necesaria. Tal es el caso de las resoluciones sobre aprobación de redenciones de penas por el trabajo —que no contienen liquidaciones de condena—, o de las propuestas de licenciamiento efectuadas por el centro penitenciario correspondiente en cuanto no fueron aprobadas por el órgano judicial, sino antes al contrario, se ordenó su rectificación. No existió, por tanto, ninguna resolución judicial firme en la que se partiese de un determinado criterio de cómputo de las redenciones de pena por el trabajo distinto al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septiembre de 2012 se señaló para deliberación y votación de la presente Sentencia el día 17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la providencia de la Sección Tercera de la Sala de la Sala de lo Penal de la Audiencia Nacional, de 23 de diciembre de 2009, así como contra el Auto de la misma Sección, de 2 de febrero de 2010, dictados en el expediente de refundición de condenas 3-1998, que, en aplicación de lo establecido en la Sentencia del Tribunal Supremo 197/2006, de 28 de febrero, fija la fecha de licenciamiento definitivo el día 16 de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 El Ministerio Fiscal, por su parte, interesa la inadmisión del recurso ex art. 44.1 a) de la Ley Orgánica del Tribunal Constitucional (LOTC), por falta de agotamiento de la vía judicial previa; subsidiariamente, interesa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citado requisito de admisibilidad, hemos afirmado en la STC 174/2011, de 7 de noviembre, que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citada doctrina, y de igual modo a como hemos acordado en las SSTC 128/2012, de 18 de julio, y 58/2012, 60/2012, y 63/2012, todas de 29 de marzo, ante supuestos idénticos al presente, procede dictar Sentencia inadmitiendo el recurso de amparo por falta de agotamiento de la vía judicial previa [art. 44.1 a) LOTC], al acudir directamente a este Tribunal sin haber hecho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como hemos afirmado en los citados pronunciamientos,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[casi dos años en el presente caso] de dictarse las resoluciones impugnadas mediante el Auto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 (SSTC 128/2012, FJ 3; 58/2012, FJ 3; 60/2012, FJ 3; 63/2012,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formulado por don Jokin Mirena Sancho Biurrun contra la providencia de la Sección Tercera de la Sala de la Sala de lo Penal de la Audiencia Nacional, de 23 de diciembre de 2009, así como contra el Auto de la misma Sección, de 2 de febrero de 2010, que desestimó el recurso de súplica deducido contra la providencia 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