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180</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3 de octubre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6 de julio de 2012, el Procurador de los Tribunales don Eduardo Codes Feijoo, en nombre y representación de Promociones Jafit, S.L., y bajo la dirección de la Letrada doña Ana Ribó López, interpuso demanda de amparo contra Sentencia de la Sección Tercera de la Sala de lo Contencioso-Administrativo del Tribunal Supremo recaída en recurso de casación núm. 172-2011 contra la dictada por el Tribunal Superior de Justicia de Asturias en recurso contencioso-administrativo núm. 1406-2008.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26 de septiembre de 2012, el Magistrado Excmo. Sr. don Juan José González Rivas manifestó su voluntad de abstenerse en el presente recurso de amparo y todas sus incidencias, por entender que concurría la causa establecida en el artículo 219.11 de la Ley Orgánica del Poder Judicial, supletoria de la Ley Orgánica 2/1979, del Tribunal Constitucional (artículo 80), al haber intervenido en instancia anterior, toda vez que en su condición de Magistrado de la Sala de lo Contencioso-Administrativo del Tribunal Supremo, formó parte de la Sección Primera de la Sala Tercera del Tribunal Supremo, que dictó el Auto de 14 de Julio de 2011, que constituye el antecedente inmediato de la Sentencia recurrida.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José González Rivas,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a)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Excmo. Sr. don Juan José González Rivas en el recurso de amparo núm. 4175-2012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octubre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