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este Tribunal se sigue la cuestión de inconstitucionalidad núm. 8556-2005, planteada por la Sección Segunda de la Sala de lo Contencioso-Administrativo del Tribunal Superior de Justicia de Castilla-La Mancha, en relación con el art. 2.1 b) y c) de la Ley 11/2000, de 26 de diciembre, de la Comunidad Autónoma de Castilla-La Mancha, del impuesto sobre determinadas actividades que inciden en el medio ambiente, por posible vulneración de los arts. 133.2 y 157.3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9 de octubre de 2012, dirigido al Pleno del Tribunal Constitucional, el Presidente del mismo don Pascual Sala Sánchez comunicó a los efectos oportunos que se abstenía de intervenir en dicho asunto por existir parentesco de consanguinidad con la dirección letrada de una de las partes en el proceso a quo (procedimiento ordinario núm. 903-2001).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Pascual Sala Sánchez, Presidente de este Tribunal, en virtud de lo previsto en los arts. 80 de la Ley Orgánica del Tribunal Constitucional y 219.1 y 2 y 221.4 de la Ley Orgánica del Poder Judicial, procede estimar la causa de abstención formulada, puesto que el mencionado Magistrado tiene relación de parentesco de consanguinidad con el Letrado de una de las partes en el proceso a quo.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Pascual Sala Sánchez en la cuestión de inconstitucionalidad núm. 8556-2005, apartándole definitivamente del conocimiento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