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203</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29 de octubre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diciembre de 2011, procedente del Juzgado Decano de Madrid, tuvo entrada en el Registro General de este Tribunal escrito firmado por la Procuradora de los Tribunales Estrella Moyano Cabrera, en representación de don José Luis Villagordo Crego, por el que se promovía recurso de amparo contra la Sentencia de 27 de mayo de 2011, dictada por el Juzgado de lo Penal núm. 19 de Madrid, así como contra la dictada por la Sección Tercera de la Audiencia Provincial de Madrid el 16 de septiembre siguiente en el rollo núm. 286-2011, desestimatoria del recurso de apelación deducido contra la del Juzgado de lo Penal. Se impugna igualmente la providencia de 20 de octubre de 2011, dictada también por la Sección Tercera, por la que se inadmite el incidente de nulidad de actuaciones interpuesto contra la última Sentencia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del Juzgado, confirmada luego por la Audiencia, condenó al demandante como autor de un delito de lesiones de los arts. 147.1 y 148.1 del Código penal, a la pena de dos años de prisión, inhabilitación especial para el derecho de sufragio pasivo durante el tiempo de la condena, al pago de las costas y a indemnizar a la víctima en 400 €.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aduce vulneración del derecho a la presunción de inocencia (art. 24.2 CE), así como del derecho a la tutela judicial efectiva sin indefensión, en su vertiente de derecho a una resolución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se solicita de este Tribunal que acuerde la suspensión de la pena privativa de libertad dado que cuando el amparo solicitado fuese otorgado por este Tribunal la pena ya habría sido cumplida total o parcialmente, de modo que el amparo habría perdido su finalidad. Aduce además que la suspensión del cumplimiento de la condena de pena privativa de libertad no causa perjuicio a tercero con cita de resoluciones de este Tribunal en las que se accedió a la suspensión que ahora se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16 de julio de 2011, la Sala Segunda acordó admitir a trámite la demanda de amparo. En providencia de la misma fecha acordó abrir pieza separada para la tramitación del incidente de suspensión y dar traslado por tres días al demandante de amparo y al Ministerio Fiscal para que alegasen lo que estimasen conveniente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de ampro formuló alegaciones mediante escrito presentado el 24 de julio de 2012, interesando la suspensión de la condena privativa de libertad, si bien llamando la atención del Tribunal acerca de la menor trascendencia que la solicitud tenía en ese momento, toda vez que el órgano judicial había concedido al demandante la suspensión de la condena mediante Auto  de 21 de marzo de 2012, cuya copia aporta.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presentado el 27 de julio de 2012, interesó la suspensión de la pena privativa de libertad, única a la que se refería la solicitud del demandante, a la vista de la corta duración de la condena y de la doctrina de este Tribunal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ATC 8/2011, de 14 de febrero, contiene la interpretación que este Tribunal ha realizado del art. 56.1 de la Ley Orgánica del Tribunal Constitucional (LOTC), en la redacción dada por la Ley Orgánica 6/2007, de 24 de mayo, que afirma “que procederá, en principio, acordar la suspensión de resoluciones judiciales que afectan a bienes o derechos del recurrente de amparo de imposible o muy difícil restitución a su estado anterior, permitiéndose incluso —como novedad— la adopción de cautelas para evitar la frustración de la finalidad del recurso aún antes de haber sido este admitido a trámite” (ATC 130/2010, de 4 de octubre, FJ 1). El criterio de suspensión expuesto concurre en la ejecución de fallos judiciales que condenan a penas privativas de libertad, ya que “la libertad constituye un derecho cuya naturaleza convierte el perjuicio irrogado en irreparable, en caso de estimarse el amparo una vez cumplida parcial o totalmente la pena” (por todos ATC 15/2010, de 1 de febrero, FJ 1). Si bien este criterio no es absoluto, ya que en dichos supuestos “deben también ponderarse otras circunstancias relevantes como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(ATC 22/2009, de 26 de enero, FJ 2); “significativamente destaca la duración y gravedad de la pena impuesta, porque, en ella se expresa la reprobación que el ordenamiento asigna al hecho delictivo y, por consiguiente, la magnitud del interés general en su ejecución” (por todos, ATC 109/2008, de 14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de acuerdo con las tesis del Ministerio Fiscal, concurren los requisitos que nuestra doctrina exige para otorgar la suspensión de la Sentencia impugnada en cuanto a la pena privativa de libertad, por cuanto la duración de la pena impuesta —dos años de prisión— permite afirmar que su ejecución puede ocasionar al demandante perjuicios irreparables que harían perder su finalidad al recurso de amparo si se compara la duración de la pena impuesta con el tiempo que requiere la tramitación de un proceso de amparo (AATC 59/2008, de 20 de febrero, FJ 2; y 172/2008, de 23 de junio, FJ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el recurrente ha puesto de manifiesto en su escrito de alegaciones que la pena privativa de libertad de dos años de duración ha sido condicionalmente suspendida por el propio órgano judicial, en aplicación de lo previsto en los arts. 80 y siguientes del Código penal (CP). Pues bien, en el ATC 25/2009, de 26 de enero, recodábamos la procedencia de la suspensión constitucional de pena privativa de libertad previamente suspendida por la jurisdicción penal en aplicación del art. 80 del Código penal “dado el distinto alcance que una y otra tienen en la medida de que la suspensión de la ejecución de la pena prevista en los indicados preceptos está sujeta a unas condiciones que no son de aplicación a esa misma suspensión cuando la decide el Tribunal Constitucional, estando en este último caso sujeta exclusivamente al límite temporal constituido por la Sentencia en la que se pronuncie sobre el amparo solicitado” (en el mismo sentido ATC 409/2004, 2 de noviembre). Resulta por ello procedente decretar la suspensión cautelar de la pena privativa de libertad impuesta, en atención a su corta duración, tratando así de prevenir que durante la previsible duración de este amparo, por vicisitudes del procedimiento penal, se pudieren producir situaciones perjudiciales que frustraren la finalidad del presente recurso. Consiguientemente, conforme a la regla de accessorium sequitur principale, igual suspensión deberá extenderse a la privación del derecho de sufragio pasivo (art. 44 CP) aneja a la privativa de libertad suspensa.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Acceder a la suspensión de la pena privativa de libertad de dos años de prisión y accesoria de privación del derecho de sufragio pasivo durante el tiempo de la condena, impuesta a don José Luis Villagordo Crego en Sentencia de 27 de mayo de 2011, dictada por el Juzgado de lo Penal núm. 19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