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5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2012, la Procuradora de los Tribunales doña Rocío Sampere Meneses, en nombre y representación de la entidad mercantil Ros Casares Centro del Acero, S.L., y bajo la dirección del Letrado don Ignacio Zurdo Ruíz-Ayucar, interpuso demanda de amparo contra providencia de la Sala de lo Contencioso-Administrativo del Tribunal Supremo en incidente de nulidad de actuaciones contra Auto dictado en recurso de casación núm. 3435-2011 contra la Sentencia de la Sección Primera de la Sala del mismo orden del Tribunal Superior de Justicia del País Vasco en procedimiento ordinario núm. 1576-2008.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diciembre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 80), al haber intervenido en instancia anterior, toda vez que formó parte de la Sección Primera de la Sala Tercera del Tribunal Supremo, que dictó el Auto de 26 de enero de 2012, en su condición de Magistrado de la Sala de lo Contencioso-Administrativo del Tribunal Supremo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Excmo. Sr. don Juan José González Rivas en el recurso de amparo núm. 3954-2012 y apartarle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