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enero de 2009 el Juzgado de lo Contencioso-Administrativo núm. 1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el recurso contencioso-administrativo (tramitado por el procedimiento abreviado con el número 5-2008) interpuesto por L.S.G. contra la desestimación por silencio del recurso de alzada interpuesto contra la previa denegación de la solicitud de renuncia al complemento específico vinculado a su puesto de trabajo. Conclusas las actuaciones y antes de dictar Sentencia el órgano judicial dictó providencia de fecha 25 de septiembre de 2008 por la que se acuerda oír a las partes y al Ministerio Fiscal a fin de que, en un plazo de diez días, alegasen lo que estimaren conveniente acerca del planteamiento de la cuestión de inconstitucionalidad, en aplicación del art. 35.2 de la Ley Orgánica del Tribunal Constitucional (LOTC), en relación con la disposición adicional primera de la Ley del Principado de Asturias 15/2002, en cuanto la misma pudiera ser contraria a lo dispuesto, con carácter básico ex art. 149.1.18 CE, en el art. 77.2 de la Ley 55/2003,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consideró procedente el planteamiento de la cuestión. El Letrado del servicio asturiano de Salud y el Ministerio Fiscal se manifestaron en contra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el Auto de 19 de noviembre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ex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a quo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enero de 2009 el Pleno del Tribunal Constitucional acordó admitir a trámite la cuestión de inconstitucionalidad; de conformidad con lo dispuesto en el art. 10.1 c) LOTC, en la redacción dada por la Ley Orgánica 6/2007, de 24 de mayo, deferir a la Sala Primera,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11 de febrero de 2009 el Presidente del Senado comunica el acuerdo de la Mesa de la Cámara por el que decide su personación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13 de febrero de 2009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registró sus alegaciones el día 16 de febrero de 2009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ex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Junta General del Principado de Asturias se personó en el proceso, sin formular alegaciones, mediante escrito registrado el día 17 de febrero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Servicio de Salud del Principado de Asturias presentó sus alegaciones mediante escrito registrado el día 26 de febrero de 2009, ratificado en otro posterior de 27 de marzo,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Las alegaciones del Fiscal General del Estado se presentaron el día 11 de marzo de 2009,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197/2012, de 6 de noviembre,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presente cuestión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