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febrero de 2012, la Procuradora de los Tribunales doña Rosalía Rosique Samper, en nombre y representación de don Adam Ujidos López, y bajo la dirección de la Letrada doña Marta Clapés Cascón, interpuso recurso de amparo contra el Auto de la Sala Segunda del Tribunal Supremo de 25 de enero de 2012, por el que se inadmite el incidente de nulidad de actuaciones interpuesto contra la Sentencia de 17 de noviembre de 2011, por la que se desestima el recurso de casación núm. 2078-2010, interpuesto contra la Sentencia de la Sección Tercera de la Audiencia Provincial de Barcelona de 4 de febrero de 2010, dictada en procedimiento abreviado núm. 21-2009, por la que se condena, entre otros, al recurrente como autor de un delito contra la salud pública a las penas principales de prisión de tres años y seis meses y dos multa con responsabilidad personal subsidiaria en caso de impago; y a la pena accesoria de inhabilitación especial para el ejercicio del derecho de sufragio pasivo durante el tiempo de la condena, además del pago proporcional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 Sentencia impugnada en cuanto a la pena privativa de libertad y la accesoria de inhabilitación, al entender que su ejecución puede producir un perjuicio que haga perder al amparo su finalidad y que dicha suspensión no ocasiona una perturbación a un interés constitucionalmente protegido ni a los derechos o libertades de otras personas, destacando que no hay ninguna víctima individual del delito y que no hay riesgo de fuga al haber estado el recurrente en todo momento a disposición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18 de octubre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31 de octubre de 2012, presentó alegaciones en las que, enunciando la jurisprudencia de este Tribunal sobre el particular, interesó la suspensión de la pena privativa de libertad y de su accesoria de inhabilitación especial, argumentando que si se compara la duración de la pena privativa de libertad impuesta, que es de prisión de tres años y seis meses, con el tiempo que normalmente se consume en la tramitación de un recurso de amparo, la denegación de la suspensión causaría a la recurrente un perjuicio irreparable, debiendo extenderse a la pena de inhabilitación por su carácter accesorio.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y por lo que se refiere a las penas de privación de libertad, se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también ha reiterado que la suspensión de la pena privativa de libertad debe conllevar la suspensión de las penas accesorias de inhabilitación que lleve aparejada (por todos, ATC 58/2012,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recurrente solicita la suspensión de la Sentencia impugnada exclusivamente en relación con la pena de prisión de tres años y seis meses, y su accesoria de inhabilitación especial para el ejercicio del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y conforme también interesa el Ministerio Fiscal, debe acordarse la suspensión de la pena privativa de libertad y su accesoria de inhabilitación especial impuestas al recurrente, ya que, atendidas todas las circunstancias concurrentes en el caso, de un lado, su ejecución puede ocasionar al recurrente perjuicios irreparables que harían perder al amparo su finalidad, tanto por afectar al valor fundamental de la libertad como porque si se compara la duración de tales penas —tres años y seis meses— con el tiempo que requiere la tramitación de un proceso de amparo como el presente, ha de concluirse que la no suspensión de su ejecución ocasionaría un perjuicio irreparable que privaría, al menos en parte, de eficacia a un eventual fallo estimatorio. Y, de otro, porque el acceder a la suspensión pretendida no ocasiona una lesión específica y grave de un interés constitucionalmente protegido —más allá de aquél que de por sí produce la no ejecución de un fallo judicial—, ni de derechos fundamentales o libertades públicas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la Sección Tercera de la Audiencia Provincial de Barcelona de 4 de febrero de 2010, dictada en el procedimiento abreviado núm. 21-2009, exclusivamente en lo relativo a las penas privativa de libertad de prisión de tres años y seis meses y accesoria de inhabilitación especial para el ejercicio del derecho de sufragio pasivo durante el tiempo de la condena impuesta a don Adam Ujidos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