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11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Ante este Tribunal se sigue la cuestión de inconstitucionalidad núm. 8952-2010, planteada por la Sección Segunda de la Sala de lo Contencioso-Administrativo del Tribunal Superior de Justicia de Castilla-La Mancha, en relación con los arts. 1 a 15 de la Ley 16/2005, de 29 de diciembre, de la Comunidad Autónoma de Castilla-La Mancha, del impuesto sobre determinadas actividades que inciden en el medio ambiente y del tipo autonómico del impuesto sobre las ventas minoristas de determinados hidrocarburos, por posible vulneración de los arts. 149.1.13, 23 y 25, 133.2 y 157.3 CE y 6.2 y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fechado el 22 de noviembre de 2012, dirigido al Pleno del Tribunal Constitucional, el Presidente del mismo don Pascual Sala Sánchez comunicó a los efectos oportunos que se abstenía de intervenir en dicho asunto, de conformidad con el art. 219.2 de la Ley Orgánica del Poder Judicial, por existir parentesco de consanguinidad con la dirección letrada de una de las partes en el proceso a quo (procedimiento ordinario núm. 463-2006).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Pascual Sala Sánchez, Presidente de este Tribunal, en virtud de lo previsto en los arts. 80 de la Ley Orgánica del Tribunal Constitucional y 219.1 y 2 y 221.4 de la Ley Orgánica del Poder Judicial, procede estimar la causa de abstención formulada, puesto que el mencionado Magistrado tiene relación de parentesco de consanguinidad con el Letrado de una de las partes en el proceso a quo.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don Pascual Sala Sánchez en la cuestión de inconstitucionalidad núm. 8952-2010, apartándole definitivamente del conocimiento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