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17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27 de octubre de 2011, la Procuradora de los Tribunales doña Pilar Cermeño Roco, actuando en nombre y representación de don Pedro González-Trevijano Sánchez, interpuso recurso de amparo constitucional contra la Sentencia de la Sección Octava de la Sala de lo Contencioso-Administrativo del Tribunal Superior de Justicia de Madrid recaída el 3 de junio de 2011 en el rollo de apelación núm. 160-2011 y contra el Auto de 7 de octubre de 2011 que desestimó el incidente de nulidad de actuaciones promovido contra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Seguido el proceso de amparo por sus trámites, el 29 de octubre del año en curso recayó Sentencia (STC 192/2012, de 29 de octubre), en cuyo fallo se acuerda lo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“Otorgar el amparo solicitado por don Pedro González-Trevijano Sánchez y, en su virtud: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se ha vulnerado el derecho del recurrente a acceder en condiciones de igualdad a las funciones y cargos públicos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Restablecerle en su derecho y, a tal fin, anular la Sentencia de la Sección Octava de la Sala de lo Contencioso-Administrativo del Tribunal Superior de Justicia de Madrid recaída el 3 de junio de 2011 en el rollo de apelación núm. 160-2011 y el Auto de 7 de octubre de 2011 que desestima el incidente de nulidad de actuaciones promovido contra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13 de noviembre de 2012 la Procuradora de los Tribunales doña Myrian González Fernández, en nombre y representación de don David Ríos Insua, solicita aclaración de la citada STC 192/2012, de 29 de octubre, al amparo del art. 93.1 de la Ley Orgánica del Tribunal Constitucional. Expone que en los obiter dicta de la Sentencia (sic) se ha producido una omisión patente de la disposición transitoria segunda de los estatutos de la Universidad Rey Juan Carlos y, por tanto, el razonamiento de la Sala incurre en un error material manifiesto.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(LOTC) establece que en el plazo de dos días, a contar desde la notificación, las partes podrán solicitar la aclaración de la Sentencia. Esta actuación judicial, de acuerdo con el art. 267.1 de la Ley Orgánica del Poder Judicial (LOPJ),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Sentencia (entre otros, AATC 363/2007, de 11 de septiembre; 439/2006, de 11 de diciembre; 70/2008, de 26 de febrero, y 32/2010, de 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solicitante de la aclaración aduce que la Sentencia recaída no ha tomado en consideración la disposición transitoria segunda de los Estatutos de la Universidad Rey Juan Carlos; y que, por ello, el razonamiento de este Tribunal ha incurrido en un error material manifiesto.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ello, lo primero que ha de señalarse es que este Tribunal ha sido consciente, como no podía ser de otro modo, de la significación que el órgano judicial atribuyó a la disposición transitoria segunda de los Estatutos de la Universidad Rey Juan Carlos [antecedente 2 f) y fundamento jurídico 6 de nuestra Sentencia] y de la dispar valoración que ha merecido a las partes (en el antecedente 3 al demandante, y más abiertamente en el antecedente de hecho 9 a la Universidad Rey Juan Carlos y en el antecedente 10 a la representación procesal de don David Ríos Insua).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solicitante de la aclaración echa en falta en nuestra Sentencia una exégesis singularizada de la repetida disposición transitoria. Pero si así lo hubiéramos hecho nos hubiésemos colocado en la posición que es propia de los órganos judiciales al interpretar la legalidad ordinaria. Dicho de otro modo, nuestro cometido no consiste en interpretar cada disposición aplicable al caso —y menos aún aisladamente— sino valorar si la interpretación que de las mismas ha realizado el órgano judicial es compatible con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vía judicial se litigó acerca de si el demandante de amparo podía concurrir como candidato a las elecciones rectorales. Siendo patente que los estatutos de la Universidad no dan respuesta explícita a la cuestión controvertida, el órgano judicial, de la consideración conjunta del art. 77.3 y de la disposición transitoria segunda, extrajo como inferencia que los Estatutos “ponen énfasis en la limitación de los mandatos del Rector” y, proyectando tal deducción sobre el caso, apreció que el actual Rector estaba incurso en causa de inelegibilidad.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nuestra Sentencia censuramos, desde la perspectiva constitucional, tal modo de interpretar la normativa estatutaria, por dos razones: a) porque el órgano judicial excluyó indebidamente del ámbito de la función pública al cargo de Rector de universidad pública. b) porque soslayó el principio hermenéutico de interpretación del ordenamiento jurídico en el sentido más favorable a la efectividad de los derechos fundamentales, en este caso el reconocido en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ha sido la perspectiva de nuestro enjuiciamiento, que, claro es, puede sustentarse en argumentaciones jurídicas propias, distintas de las empleadas por el órgano judicial y las partes, siempre que conduzcan a dar respuesta a las pretensiones deducidas por 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 cuando lo anteriormente expuesto resulte materialmente una explicación, ofrecida a la vista de la petición de la parte, sin embargo no constituye una aclaración que deba incorporarse al texto de la Sentencia, antes al contrario, por lo que el presente pronunciamiento ha de ser denegatorio de la pretensión de que la STC 192/2012, de 29 de octubre, sea objeto de la aclaración pedida.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