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8309-2010, promovido por don Juan Carlos Subijana Izquierdo y don Zigor Bravo Sáez de Urabain, representados por el Procurador de los Tribunales don Javier Cuevas Rivas y asistidos por el Abogado don Iker Urbina Fernández, contra la Sentencia de 10 de marzo de 2010 de la Sección Primera de la Sala de lo Penal de la Audiencia Nacional, en el rollo de Sala núm. 18-2009 procedente del sumario núm. 16-2000 del Juzgado Central de Instrucción núm. 3, que les condenó por delitos de asesinato y daños terroristas a las penas de veinticinco y tres años de prisión, con accesorias, y contra la Sentencia de la Sala de lo Penal del Tribunal Supremo, de 1 de octubre de 2010, que confirmó la anterior resolución en el recurso de casación núm. 10413-2010. Ha sido parte doña Concepción Jaular Díaz, representada por el Procurador de los Tribunales don José Pedro Vila Rodríguez y asistida por el Abogado don Juan Carlos Rodríguez-Segura.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noviembre de 2010, el Procurador de los Tribunales don Javier Cuevas Rivas, actuando en nombre y representación de don Juan Carlos Subijana Izquierdo y don Zigor Bravo Sáez de Urabain,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Central de Instrucción núm. 3 se incoó el sumario núm. 16-2000 por los delitos de asesinato terrorista y estragos terroristas, cuyo enjuiciamiento correspondió a la Sección Primera de la Sala de lo Penal de la Audiencia Nacional. En fecha 10 de marzo de 2010 dictó Sentencia, condenando a los recurrentes en amparo como autores de un delito de asesinato terrorista a la pena de veinticinco años de prisión, con la accesoria de inhabilitación absoluta durante el tiempo de condena, con prohibición de aproximarse y comunicar con la viuda e hija de la víctima durante cinco años y de acudir a la localidad de Vitoria-Gasteiz o al lugar de residencia de dichos familiares. Asimismo, fueron condenados como autores de un delito de daños terroristas a la pena de tres años de prisión, con la accesoria de suspensión del derecho de sufragio pasivo durante el tiempo de la condena. Y en concepto de responsabilidad civil, a indemnizar conjunta y solidariamente a la viuda e hija de la víctima en la cantidad, a cada una de ellas, de 400.000 euros —declarando el derecho del Estado a subrogarse en las cantidades que en concepto de indemnización a las perjudicadas por estos hechos hayan sido o puedan ser satisfechas—, y al Consorcio de Compensación de Seguros en la cantidad de 62.730 euros, así como al pago de las costas por partes iguales,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citada resolución declara probado que los recurrentes en amparo eran miembros de la organización terrorista ETA; que en el año 2000 integraban un comando de información; que el señor Bravo frecuentaba la casa de sus padres, sita en el mismo inmueble en el que vivía el funcionario de prisiones don Máximo Casado Carreda, quien aparcaba su vehículo en el garaje comunitario; que transmitió al señor Subijana información precisa sobre las circunstancias personales de dicho funcionario: su dirección, vehículo y la ubicación de su plaza en el garaje del inmueble, facilitándole una llave de acceso al mismo; que el señor Subijana trasladó la información así como la citada llave a ETA; que utilizando dichas revelaciones, integrantes no identificados de dicha organización colocaron un artefacto, explosivo del tipo lapa en los bajos del turismo del funcionario, que se hallaba estacionado en el garaje comunitario; que sobre las 7:45 horas del día 22 de octubre de 2000, cuando el funcionario intentaba poner en marcha el vehículo, se produjo la explosión del artefacto, ocasionándole la muerte en los momentos inmediatamente posteriores; que la autoría de la acción fue reivindicada por aquella organización terrorista en comunicado publicado en el diario “Gara”, el día 19 de noviembre de 2000 y, en fin, que la explosión causó la destrucción del vehículo del señor Casado y diversos daños en las comunidades de propietarios y en los vehículos estacionados en las plazas próximas del garaje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razona sobre la legalidad de las fuentes de prueba tomadas en consideración, respondiendo con ello a la denuncia de ilicitud formulada por la defensa. En concreto, se pronuncia sobre la validez de las declaraciones en dependencias policiales prestadas por el señor Subijana, que se denunciaban obtenidas mediante torturas, y, asimismo, sobre la incorporación como material probatorio del resultado de los registros efectuados en los domicilios de ambos acusados, pues se censuraba que no constara en las actuaciones resolución judicial alguna que los hubiera autorizado.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Sentencia que las declaraciones del señor Subijana y las actas de registro practicadas en los domicilios provienen del procedimiento sumario núm. 15-2002 del Juzgado Central de Instrucción núm. 1, que dio lugar al rollo de Sala núm. 20-2002, en el que se dictó Sentencia de conformidad de los acusados, entre los que se encontraban los señores Bravo y Subijana, siendo condenado aquél por pertenencia a la organización ETA, y apreciándose en cambio la identidad de cosa juzgada respecto del último citado, al haber sido condenado en Francia por el mismo motivo. La resolución hace constar, seguidamente, que por providencia dictada por la Juez Central de Instrucción núm. 3 se acordó incorporar al procedimiento el testimonio de las referidas declaraciones, de las actas de entrada y registro en los domicilios de los acusados y de los documentos incautados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Deteniéndose en lo manifestado por el señor Subijana ante la policía el día 8 de septiembre de 2001, afirma la referida Sentencia de la Audiencia Nacional que en su declaración judicial, interrogado por el Juez Central de Instrucción sobre el trato recibido, manifestó “que ha sido tratado correctamente por la Guardia Civil”. Consta también, prosigue, que fue reconocido por el médico forense en las dependencias policiales sin que se emitiera parte alguno, y que la defensa no pidió la incorporación de los informes médicos que deben obrar en las actuaciones originales sobre los exámenes practicados al acusado. Asimismo, señala que en fechas posteriores a su detención e ingreso en prisión presentó una denuncia ante el Juzgado de Instrucción de Donostia-San Sebastián por torturas, y que la defensa aportó un informe elaborado por el Comité de Derechos Humanos de las Naciones Unidas en el que se acredita la misma, pero en el que se refleja también el informe del Gobierno de España que niega esas prácticas y da cuenta de que el procedimiento seguido en virtud de aquella denuncia fue archivado. Por todo lo cual, concluye afirmando: “todo el material dirigido a probar las supuestas torturas se limita a las declaraciones del acusado en el juicio oral al responder a las preguntas formuladas por su defensa -en uso de su derecho no quiso contestar a las preguntas de las acusaciones- y a una denuncia formulada por el acusado contra la Guardia Civil por torturas, tras haber afirmado ante el Juez de Instrucción que había recibido un trato correcto, denuncia que al parecer fue archivada. Con dicho material, carente de cualquier otro sustento, no pueden tenerse por probadas las supuestas torturas que el acusado dice haber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registros efectuados, la Sentencia argumenta que las correspondientes diligencias fueron practicadas en presencia del Secretario judicial, quien levantó acta con todas las formalidades exigidas por la Ley de enjuiciamiento criminal, lo que evidencia que los registros se amparaban en una resolución judicial; y que, a pesar de no haber sido incorporados a las actuaciones los autos expedidos por el Juez de instrucción que los autorizó, dichas autorizaciones deben encontrarse lógicamente incorporadas al procedimiento del que se dedujo el testimonio de las actas de entrada y registro (el procedimiento sumario núm. 15-2002 del Juzgado Central de Instrucción núm. 1, que dio lugar al rollo de Sala núm. 20-2002).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consideración añade una referencia al acuerdo adoptado en Sala General por el Pleno de la Sala Segunda del Tribunal Supremo, de fecha 26 de mayo de 2009, según el cual “en los procesos incoados a raíz de la deducción de testimonios de una causa principal, la simple alegación de que el acto jurisdiccional limitativo del derecho al secreto de las comunicaciones es nulo, porque no hay constancia legítima de las resoluciones antecedentes, no debe implicar sin más la nulidad. En tales casos, cuando la validez de un medio probatorio dependa de la legitimidad de la obtención de fuentes de prueba en otro procedimiento, si el interesado impugna en la instancia la legitimidad de aquel medio de prueba, la parte que lo propuso deberá justificar de forma contradictoria la legitimidad cuestionada. Pero si, conocido el origen de un medio de prueba propuesto en un procedimiento, no se promueve dicho debate, no podrá suscitarse en ulteriores instancias la cuestión de la falta de constancia en ese procedimiento de las circunstancias concurrentes en otro relativas al modo de obtención de las fuentes de aquella prueba”. Y dice la Sala, extendiendo el criterio de ese acuerdo a las diligencias de entrada y registro, que la parte recurrente incurrió en tal pasividad, ya que no fue sino en el momento del informe de la defensa en el juicio oral cuando se invocó la ausencia de la resolución judicial legitimadora de los registros, pese a que, si dudaba de su existencia o de su legalidad, pudo en su escrito de conclusiones provisionales señalar la falta de las resoluciones habilitantes. En consecuencia, constando además la intervención del Secretario judicial en esas diligencias, no existiría impedimento para la valoración de las pruebas obtenidas en los registros practicados.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ese material probatorio, considerado válido, se procede a la valoración de la prueba, declarando la Audiencia Nacional la participación de los acusados en los hechos que se les imputaban. Alude para ello a un primer indicio, constituido por el relato fáctico de la Sentencia dictada por la misma Sección Primera en fecha 5 de junio de 2009 (rollo de Sala núm. 20-2002, sumario núm. 15-2002 del Juzgado Central de instrucción núm. 1, anteriormente citada), que fue objeto de discusión en el plenario tras introducirse en la vista, y del que se desprende que los recurrentes en amparo, junto a un tercero, formaron un comando de la organización terrorista ETA desde el año 1997, cuya finalidad era obtener información al servicio de la citada organización, a la que facilitaron en numerosas ocasiones datos relevantes para la ulterior ejecución de atentados contra personas y cosas. De otra parte, destaca la coincidencia entre el domicilio de los padres del señor Bravo y del funcionario asesinado, y que aquél tenía acceso al garaje del inmueble y posibilidad de conocer los datos del señor Casado. Se refiere, en tercer lugar, a la declaración prestada por el señor Subijana ante la Guardia Civil el 8 de septiembre de 2001, en la que relató pormenorizadamente su ingreso en ETA y las acciones en las que había participado, y en la que dijo respecto de los hechos enjuiciados: “Que la información sobre el funcionario de prisiones se la había proporcionado Zigor Bravo. Que la información consistía en varias notas acerca de su vehículo, su dirección, la forma de entrar en el garaje donde guardaba su vehículo. Que también Zigor le había facilitado la llave de acceso al garaje”, agregando luego la Sala que en la posterior declaración judicial referente a los mismos hechos manifestó que no deseaba rectificar ni ratificar la declaración prestada ante la Guardia Civil, que no había recibido ningún tipo de presión para incluir en su declaración al señor Bravo y que no quería declarar ni contestar a las preguntas efectuadas. Por lo tanto, se concluye, el señor Subijana no ratificó la declaración efectuada en dependencias policiales, pero expresamente no la desmintió.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Transcribe después el acuerdo del Pleno no jurisdiccional de la Sala Segunda del Tribunal Supremo, de 28 de noviembre de 2006, que dispuso que “las declaraciones válidamente prestadas ante la policía pueden ser objeto de valoración por el Tribunal, previa su incorporación al juicio oral en alguna de las formas admitidas por la jurisprudencia”. A renglón seguido se apoya en la STS 1215/2006, de 4 de diciembre, dictada en un caso que guarda gran similitud, dice, con el enjuiciado, resolución que hace suya y de la que deduce la validez de las declaraciones del señor Subijana en dependencias policiales, en tanto que “fueron introducidas en el juicio oral por su exhibición a dicho acusado para su ratificación, a lo que éste se negó, pues en uso de su derecho no contestó a las preguntas del Ministerio Fiscal. Fueron por lo tanto sometidas a debate contradictorio —la defensa interrogó al acusado ampliamente sobre las mismas— y el acusado las justificó por haber sido sometido a torturas, cuestión que ya ha sido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 cuanto a los efectos incriminatorios de las manifestaciones del señor Subijana respecto de la responsabilidad del señor Bravo, advierte que, si bien la declaración del coimputado no puede convertirse en el único fundamento de una condena penal, pues requiere de las corroboraciones necesarias, en este caso dichos elementos de corroboración concurren; a saber: la pertenencia a ETA del señor Bravo, que él mismo aceptó en el procedimiento antes reseñado (Sentencia de 5 de junio de 2009); la accesibilidad por sus relaciones de vecindad a los datos que el señor Subijana dice que le proporcionó; los resultados de los registros efectuados en los domicilios, que revelan la coincidencia entre los documentos hallados y las informaciones de las que disponía ETA y, finalmente, un documento (folio 755) intervenido en el registro del domicilio del señor Subijana, manuscrito por éste conforme a la prueba pericial caligráfica ratificada en el juicio oral, que contenía la siguiente secuencia: “carcelero, plano, claves, garaje, domicilio”. En definitiva, termina la Sala, los documentos intervenidos en los domicilios de los acusados acreditan su relación con ETA y su trabajo como informadores al servicio de la organización terrorista, así como que el señor Subijana tenía en su poder la información que manifestó le había proporcionado el señor Bravo, lo que es un elemento más de corroboración de lo declarado ante la policía. Lo entonces expresado, por tanto, unido al conjunto de los elementos mencionados, concluye, acreditaría la participación del señor Bravo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expuesto se procede a la calificación jurídica, la determinación de la autoría por cooperación necesaria, la imposición de las penas y la responsabilidad civil y costas, condenando a los recurrentes en amparo como autores de un delito de asesinato terrorista (art. 572.1.1, en la redacción entonces vigente, en relación con el art. 139.1 del Código penal: CP) y de un delito de daños terroristas (art.266.1, en relación con los arts. 263 y 574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 la Sección Primera de la Sala de lo Penal de la Audiencia Nacional, de 10 de marzo de 2010, fue recurrida en casación por ambos condenados. El recurso denunciaba, de una parte, la vulneración del art. 24.2 CE, en tanto que consagra la presunción de inocencia, al haberse considerado a los señores Subijana y Bravo autores de aquellos delitos sin que existiese prueba de cargo y, de otra parte, la aplicación indebida del art. 28 b) CP, por la apreciación de la autoría por cooperación necesaria. El recurso fue desestimado por Sentencia de 1 de octubre de 2010, dictada por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validez de la declaración prestada en diligencias policiales, el Alto Tribunal alude a la decisión mayoritaria adoptada en la sesión del Pleno no jurisdiccional celebrado el día 28 de noviembre de 2006, anteriormente transcrita, y señala que las condiciones establecidas en ese acuerdo se cumplirían en el supuesto enjuiciado.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decir que, no habiéndose evidenciado la imposibilidad de la comparecencia ante el Tribunal de los funcionarios, en este caso guardias, que intervinieron en las declaraciones policiales de los acusados, la forma más correcta de introducción de éstas en el acto del Juicio era la de la presencia de dichos servidores públicos en el acto del Juicio para prestar declaración acerca de lo que vieron y oyeron, así como respecto de las restantes circunstancias que rodearon a dichas actuaciones policiales, dando cuenta así, personalmente, tanto del contenido de las referidas declaraciones como de su propia conducta en aquellos momentos. Lo que obviamente resulta más enriquecedor, convincente y seguro que la mera lectura de las actas del atestado en las que constan las manifestaciones vertidas por los declarantes.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en el presente caso acontece que la introducción de aquella declaración en el juicio se produjo de la forma más efectiva y fiable posible, a saber, el propio reconocimiento de la misma por el acusado, ahora recurrente, que si bien afirmó en el acto del juicio oral, a preguntas de su propio defensor que fueron las únicas a las que accedió a contestar, que aquellas manifestaciones no se correspondían con la realidad sino que fueron provocadas por el padecimiento causado por las torturas de que fue objeto, no niega expresamente el hecho de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el objeto a analizar en esta ocasión se desplaza, desde la genérica posibilidad de eficacia acreditativa de las declaraciones ante la Policía, ya admitida de acuerdo con los argumentos expuestos en el apartado anterior, pasando por la necesidad de una correcta introducción en Juicio de dicho material probatorio, efectuada en esta ocasión por la admisión de su existencia por el propio interesado a la que acabamos de referirnos, para concluir en la determinación de la existencia de vicios o circunstancias, como la práctica de torturas, amenazas o coacciones sobre el declarante, que supusieran la nulidad de dichos elementos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sentido, resultan plenamente lógicos y convincentes los razonamientos expuestos por los Jueces a quibus en su Resolución, para rechazar la existencia de las alegadas torturas, teniendo en cuenta que el recurrente no denunció ilícito alguno de tales características en el momento inicial de las actuaciones, en su declaración fue asistido de Letrado que nada manifestó tampoco al respecto, el Médico forense que en aquel momento le examinó no informó de señal ni dato alguno que indicase o hiciera sospechar de un sometimiento a malos tratos e incluso el propio Subijana, ante el Juez de Instrucción y tiempo después, dijo expresamente que la Guardia Civil le había trato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aquella declaración ha de declararse existente, válida y con la suficiente eficacia probatoria para, una vez valorada por el Juzgador, llevar a éste a la convicción razonable y necesaria acerca de la veracidad del contenido de lo manifestado y suficiente, por tanto, para enervar el derecho a la presunción de inocencia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confirma la validez de los registros llevados a cabo en las viviendas de los señores Subijana y Bravo, para lo que se remite al acuerdo de 26 de mayo de 2009, ya citado, que extiende expresamente a los supuestos de entrada y registro domiciliario, y subraya que en dichos registros “se ocuparon elementos tan incriminatorios para los titulares de las viviendas como diversa documentación que, pericialmente analizada, revela su coincidencia con otro material intervenido en Francia a la dirigente de ETA Ainhoa García Montero con las informaciones de que disponía la banda para la ejecución de atentados y en concreto, en relación con el caso que analizamos, un documento hallado en la casa de Subijana en el que figuran las expresiones ‘carcelero, plano, claves, garaje,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centrado en la condena del señor Bravo, comparte con la Sentencia impugnada la existencia de elementos de corroboración objetiva de la declaración en sede policial hasta aquí aludida, efectuada por el coencausado señor Subijana.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razones, la Sala Segunda del Tribunal Supremo desestimó 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aducen la vulneración del derecho a la presunción de inocencia (art. 24.2 CE), en relación con el art. 6.2 del Convenio europeo para la protección de los derechos humanos y de las libertades fundamentales (CEDH) y el art. 14.2 del Pacto internacional de derechos civiles y políticos (PIDCP). Lo fundamentan, en primer lugar, en que se considerara prueba de cargo la declaración realizada por el señor Subijana en dependencias policiales, no ratificada ante el Juzgado Central de Instrucción ni en el acto de la vista oral. A su juicio, la lesión se desprendería de la doctrina de la STC 51/1995, de 23 de febrero, y otras posteriores de este mismo Tribunal que declararon que los atestados policiales tienen únicamente valor de denuncia, sin que sea suficiente su reproducción en el plenario para que se conviertan en prueba de cargo. Esas declaraciones, por lo demás, constituyeron la base fundamental de las condenas, ya que representan el único elemento que permite mantener que el señor Bravo facilitó información del señor Casado al señor Subijana para que éste último la trasladara a ETA, de suerte que, eliminadas del acervo probatorio, ninguno de los otros elementos circunstanciales —a los que las resoluciones recurridas otorgan un mero valor corroborador— permitiría enervar la presunción de inocencia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segunda razón de la vulneración del derecho a la presunción de inocencia del art. 24.2 CE, alude el recurso a los documentos incautados en los registros de los domicilios particulares de los recurrentes, respecto de los que, sin embargo, no obra en las actuaciones resolución judicial habilitante. No obstante lo establecido en las Sentencias impugnadas, dicen, no puede admitirse que corresponda a la defensa demostrar el motivo de nulidad derivado de aquello frente a quien pretende utilizar dicha prueba, pues debería ser este último el que soporte la carga de garantizar que sea introducida en el procedimiento y en el acto de vista oral de conformidad con las normas que rigen el mismo. En suma, la ausencia de las resoluciones que autorizaron la entrada y registro en los domicilios de los recurrentes conllevaría la ilicitud de dichas diligencias y la imposibilidad de valorar la documentación incautada, resultando indudable la conexión de antijuridicidad exigida (STC 49/2007, de 12 de marzo) pues las resoluciones impugnadas utilizaron dicha documentación como elemento de corroboración de la declaración policial del señor Subijana.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motivo se aduce, subsidiariamente, la misma vulneración del derecho a la presunción de inocencia del art. 24.2 CE, por declararse probados hechos sobre los que no existe prueba alguna, como que el señor Bravo tuviera conocimiento de la condición de funcionario de prisiones del señor Casado, o que miembros no identificados de ETA, utilizando dicha información, colocaran un artefacto explosivo del tipo lapa en su vehículo. Sobre el particular sólo existen meras hipótesis policiales, desconociéndose si el artefacto se colocó fuera o en el interior del garaje y las personas que participaron en esos hechos. En suma, a su juicio, no existe prueba de cargo que acredite que el señor Bravo conociera al señor Casado y supiera de su condición de funcionario de prisiones, ni que facilitara información sobre el mismo al señor Subijana, ni de que éste la hiciera llegar a la dirección de ETA o de que esa información fuera correcta y utilizada por la mencionada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Primera, de 11 de abril de 2011, se acordó la admisión a trámite de la demanda de amparo, solicitándose la certificación o fotocopia adverada de las actuaciones a los órganos judiciales que intervinieron en los diferentes grados jurisdiccionales, antes citados,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30 de mayo de 2011, el Procurador don José Pedro Vila Rodríguez solicitó que se le tuviera por personado en nombre y representación de doña Concepción Jaular Díaz.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Segunda de este Tribunal, de 2 de junio de 2011, se tuvieron por recibidos los testimonios de las actuaciones y el escrito del Procurador don José Pedro Vila Rodríguez, a quien se tuvo por personado y parte en la representación que ostenta, acordándose abrir el plazo común de veinte días al Ministerio Fiscal y a las partes personadas, de conformidad con el art. 52 de la Ley Orgánica del Tribunal Constitucional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Concepción Jaular Díaz presentó escrito de alegaciones antes de recibir la notificación de la anterior providencia, aunque se ratificó en los contenidos del mismo el día 15 de junio de 2011, una vez que el plazo le había sido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que no existe un solo indicio de torturas o malos tratos y que las alegaciones de vulneración de la presunción de inocencia —por falta de ratificación de la declaración del señor Subijana en sede policial y de prueba de cargo para basar la condena— fueron resueltas en el proceso de manera clara y pormenorizada, fundamentada en Derecho. Por lo demás, aquellas declaraciones ante la policía fueron introducidas en el juicio oral, y resultaron por lo tanto sometidas a debate contradictorio, mientras que, en lo que se refiere al señor Bravo, los órganos judiciales aportaron los elementos corroboradores necesarios, entre los que es especialmente relevante el documento que figura en el folio 755 de las actuaciones (que citamos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el día 12 de julio de 2011,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manifiesto que en el plenario se practicó abundante prueba y que, tras el examen del conjunto de ese material probatorio, la Sala de enjuiciamiento descartó que la declaración policial se hubiera obtenido bajo tortura y rechazó la versión de los hechos de los acusados. Por ello, a su juicio, la declaración ante la Guardia Civil no constituyó la prueba en la que se sustentó la condena de ambos demandantes, sino que, por el contrario, se apoyó en diversos elementos acreditados y pruebas practicadas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lo que atañe a los documentos obtenidos en los registros domiciliarios, mantiene que si el derecho a la presunción de inocencia puede considerarse temporáneamente invocado tras el dictado de la Sentencia condenatoria, no ocurre igual con la vulneración del derecho sustantivo que fundamenta la ilicitud de la prueba, puesto que, como tiene declarado este Tribunal Constitucional, a partir del momento mismo en que la lesión se produjo podía ser invocada ante los órganos judiciales (STC 171/1992, de 26 de octubre, FJ 3). De acuerdo con ese criterio la denuncia pudo formularse, en el entendimiento habitual en estos casos, al comienzo del juicio oral, cosa que no se hizo, por lo que debe declararse incumplido el requisito previsto en el art. 44.1 c) LOTC. No obstante, por si no se compartiera su tesis, postula la validez de dicha documental, ya que, afirma, ambos demandantes a preguntas de su defensa y con todas las garantías reconocieron en el plenario que en sus domicilios fueron incautados los documentos mencionados, aunque negaran que les pertenecieran.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 finalmente al último motivo del recurso, que revela a su juicio una mera discrepancia con la valoración probatoria, lo que es ajeno al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don Javier Cuevas Rivas no presentó alegaciones en el plazo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noviembre de 2012, el Pleno, de conformidad con lo establecido en el art. 10.1 n) LOTC y a propuesta de la Sala Primera,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febrero de 2013,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de 10 de marzo de 2010 de la Sección Primera de la Sala de lo Penal de la Audiencia Nacional, dictada en el rollo de Sala núm. 18-2009 procedente del sumario núm. 16-2000 del Juzgado Central de Instrucción núm. 3, que condenó a los recurrentes en amparo por delitos de asesinato y daños terroristas a las penas de veinticinco y tres años de prisión, con accesorias, y de 1 de octubre de 2010, de la Sala de lo Penal del Tribunal Supremo, que confirmó la anterior resolución en el recurso de casación núm. 10413-2010. En la demanda se considera vulnerado el derecho a la presunción de inocencia (art. 24.2 CE) con base en diversos motivos: porque se fundó la condena en la declaración de uno de los demandantes, prestada ante la policía y no ratificada en presencia judicial; porque se valoraron documentos incautados en los registros de los domicilios particulares de los recurrentes respecto de los que, sin embargo, no obra en las actuaciones resolución judicial habilitante, y porque, subsidiariamente, se declararon probados hechos sobre los que no existe prueba de cargo alguna, sino sólo meras hipótesis policiales. El Ministerio Fiscal y la representación procesal de doña Concepción Jaular Díaz interesan la desestimación íntegra de la demanda, defendiendo el primero de ellos que la segunda alegación, relativa al valor de los registros domiciliaros y de las pruebas en ellos obtenidas, no fue correctamente invocada en la vía judicial previa [art.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alegaciones contenidas en el presente recurso se abordarán siguiendo el orden de la demanda de amparo. Este criterio metodológico permitirá, pues, dotar a nuestro pronunciamiento de una sistemática apropiada ad casum.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declaración prestada en sede policial por el señor Subijana, que tuvo una doble manifestación —auto y heteroinculpatoria, pues incriminó también al otro recurrente—, será preciso traer a colación el argumento en el que funda su validez como prueba de cargo la Sala Segunda del Tribunal Supremo, a saber: que fue introducida en el juicio de la forma más efectiva y fiable posible, esto es, a través del propio reconocimiento por el acusado de que la misma se produjo, pues si bien afirmó en el acto del juicio oral, a preguntas de su propio defensor que fueron las únicas a las que accedió a contestar, que aquellas manifestaciones que hizo en dependencias policiales no se correspondían con la realidad, sino que fueron provocadas por el padecimiento causado por las torturas de que fue objeto, “no niega expresamente el hecho de su existencia”. Añade a lo anterior el Alto Tribunal una serie de elementos dirigidos a rechazar las alegadas torturas, que habrían supuesto, como es obvio, un motivo de nulidad, pero que, una vez descartadas, despejarían toda duda sobre la validez del testimonio reseñado, vista aquella incorporación fiable al acto del juicio. Bajo esas circunstancias —concluye la Sentencia de casación— lo expresado en aquel momento ante la policía ha de reputarse válido y con la suficiente eficacia probatoria para, una vez valorado por el Juzgador, llevar a éste a la convicción razonable y necesaria acerca de la veracidad del contenido de lo manifestado, y suficiente, por tanto, para enervar el derecho a la presunción de inocencia del declarante, como igualmente de la del señor Bravo, al existir factores que corroboran el testimonio del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 anterior, obra en las actuaciones lo que dijo el señor Subijana en el acto del juicio (folio 258): que no se ratificaba en las declaraciones efectuadas ante la policía porque fueron realizadas bajo torturas y amenazas; que sus manifestaciones fueron preparadas por la Guardia Civil, que hizo especial hincapié en que tenía que imputar al señor Bravo, al que en realidad sólo conocía porque le había servido alguna consumición en el bar donde trabajaba, y que no informó a ETA sobre el señor Casado, del que no tenía datos y al que no conocía. El señor Bravo coincidió con el señor Subijana en lo referente al tipo de relación que mantenían y negó, asimismo, los hechos que le eran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Procederemos ahora a recoger los contenidos esenciales de nuestra doctrina en la materia, sintetizados por la STC 68/2010,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regla general, sólo pueden considerarse pruebas que vinculen a los órganos de la justicia penal las practicadas en el juicio oral, pues el procedimiento probatorio ha de tener lugar necesariamente en el debate contradictorio que en forma oral se desarrolle ante el mismo Juez o Tribunal que ha de dictar Sentencia, de manera que la convicción sobre los hechos enjuiciados se alcance en contacto directo con los medios de prueba aportados a tal fin por las partes (por todas, SSTC 182/1989, de 3 de noviembre, FJ 2; 195/2002, de 28 de octubre, FJ 2; 206/2003, de 1 de diciembre, FJ 2; 1/2006, de 16 de enero, FJ 4; 345/2006, de 11 de diciembre, FJ 3, o 134/2010, de 3 de diciembre, FJ 3). Es en el juicio oral donde se aseguran las garantías constitucionales de inmediación, contradicción, oralidad y publicidad (entre otras muchas, STC 67/2001, de 17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regla que se viene de enunciar, sin embargo, no puede entenderse de manera tan radical que conduzca a negar toda eficacia probatoria potencial a otras diligencias. En efecto, nuestra doctrina ha admitido que la regla general consiente determinadas excepciones, particularmente respecto de las declaraciones prestadas en fase sumarial cuando se cumplan una serie de presupuestos y requisitos que “hemos clasificado como: a) materiales —que exista una causa legitima que impida reproducir la declaración en el juicio oral—; b) subjetivos —la necesaria intervención del Juez de Instrucción—; c) objetivos —que se garantice la posibilidad de contradicción, para lo cual ha de haber sido convocado el Abogado del imputado, a fin de que pueda participar en el interrogatorio sumarial del testigo—; d) formales —la introducción del contenido de la declaración sumarial a través de la lectura del acta en que se documenta, conforme a lo ordenado por el art. 730 LECrim—, o a través de los interrogatorios, lo que posibilita que su contenido acceda al debate procesal público y se someta a confrontación con las demás declaraciones de quienes sí intervinieron en el juicio oral” [STC 68/2010, FJ 5 a), y los restantes pronunciamientos de este Tribunal allí igualmente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la posibilidad de otorgar la condición de prueba a declaraciones prestadas extramuros del juicio oral no alcanza a las practicadas ante la policía. Se confirma con ello la doctrina de nuestra temprana STC 31/1981, de 28 de julio, FJ 4, según la cual “dicha declaración, al formar parte del atestado, tiene, en principio, únicamente valor de denuncia, como señala el art. 297 de la LECrim”, por lo que, considerado en sí mismo, y como hemos dicho en la STC 68/2010, FJ 5 b), “el atestado se erige en objeto de prueba y no en medio de prueba, y los hechos que en él se afirman por funcionarios, testigos o imputados han de ser introducidos en el juicio oral a través de auténticos medios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señalado que la declaración ante la policía no constituye como tal, y por sí sola, un medio de prueba, no es preciso en este momento entrar en el análisis de problemas asociados a ello, abordados en nuestros precedentes pero sin relevancia alguna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criterio descrito en la letra anterior no significa, no obstante, negar eficacia probatoria potencial a cualquier diligencia policial reflejada en el atestado, puesto que, si se introduce en el juicio oral con respeto “a la triple exigencia constitucional de toda actividad probatoria: publicidad inmediación y contradicción” (SSTC 155/2002, de 22 de julio, FJ 10 y 187/2003, de 27 de septiembre, FJ 4), puede desplegar efectos probatorios, en contraste o concurrencia con otros elementos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declaraciones obrantes en los atestados policiales, en conclusión, no tienen valor probatorio de cargo. Singularmente, y en directa relación con el caso que ahora nos ocupa, ni las autoincriminatorias ni las heteroinculpatorias prestadas ante la policía pueden ser consideradas exponentes de prueba anticipada o de prueba preconstituida. Y no sólo porque su reproducción en el juicio oral no se revele en la mayor parte de los casos imposible o difícil sino, fundamentalmente, porque no se efectuaron en presencia de la autoridad judicial, que es la autoridad que, por estar institucionalmente dotada de independencia e imparcialidad, asegura la fidelidad del testimonio y su eventual eficacia probatoria. Lo hemos dispuesto de ese modo, en relación con las declaraciones de coimputados y copartícipes en los hechos, por ejemplo, en las SSTC 51/1995, de 23 de febrero; 206/2003, de 1 de diciembre, o 68/2010, de 18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puede confundirse la acreditación de la existencia de un acto (declaración ante la policía) con una veracidad y refrendo de sus contenidos que alcance carácter o condición de prueba por sí sola.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la consolidada doctrina de este Tribunal, la Constitución veda ex art. 24.2 que un Juez o Tribunal de lo penal sustente una condena en su propia apreciación de lo sucedido a partir de su valoración de testimonios a los que no ha asistido. El derecho fundamental del acusado a un proceso con todas las garantías (art. 24.2 CE) exige que la valoración de un testimonio personal sólo pueda ser realizada por el órgano judicial ante el que se practique y siempre que además dicha práctica se realice en condiciones plenas de contradicción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lesión de ese derecho, cuya declaración se impone cuando haya tenido una incidencia material en la condena, se producirá también la vulneración del derecho a la presunción de inocencia siempre que la eliminación de la prueba irregularmente valorada deje sin sustento el relato de hechos probados que soporta la declaración de culpabilidad del acusado. Esto sucederá, por supuesto, cuando la prueba personal eliminada sea la única tomada en cuenta por la resolución impugnada, pero asimismo cuando, a partir de su propia motivación, se constate que dicha prueba era esencial para llegar a la conclusión fáctica incriminatoria, de modo que con su exclusión la inferencia de dicha conclusión devenga ilógica o no concluyente (STC 207/2007, de 24 de septiembre, FJ 2, y entre las más recientes, STC 144/2012, de 2 de julio, FJ 6, o la reiterada STC 68/2010, dictada en una problemática próxima a la que resolvemos, como ha quedado expuesto). Sin embargo y de existir otras pruebas de cargo válidas e independientes, la presunción de inocencia no resultará infringida (por ejemplo, STC 81/1998, de 2 de abril, FJ 3, o 167/2002, de 18 de septiembre, FJ 6, ambas del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analizar entonces si existen otras pruebas de cargo válidamente practicadas. Y, de constatarse su existencia, decidir, si a partir del análisis de las resoluciones judiciales, se puede concluir o no que la condena se fundó en ellas. Si existieran aquéllas pero requirieran una nueva valoración por parte de la Sala sentenciadora, una vez eliminada la prueba anulada, procedería acordar la retroacción de actuaciones al momento anterior a dictar Sentencia, para que fueran los órganos judiciales quienes la realizaran, pues a este Tribunal no le compete esa función. Pero si del examen de la Sentencia condenatoria pudiera llegarse a la conclusión inversa (que la prueba anulada no resulta indispensable ni determinante para el fallo de culpabilidad, sino que, antes bien, éste puede seguir asentándose en las restantes válidamente practicadas), no procedería acordar la retroacción de las actuaciones, desestimándose en esa hipótesis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y respecto del recurrente señor Subijana, advertimos que, tras la lectura de las resoluciones impugnadas, los órganos judiciales han contado con otros elementos de prueba además del constituido por su declaración ante la policía, señaladamente el resultado de los registros domiciliarios practicados, cuya validez ha sido también cuestionada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razonan con pleno sentido que las correspondientes diligencias fueron desarrolladas en presencia del Secretario judicial, lo que evidencia que los registros se amparaban en una resolución judicial; y que, a pesar de no constar incorporados a las actuaciones los Autos expedidos por el Juez de instrucción que los autorizó, éstos deben encontrarse lógicamente incorporados al procedimiento del que se dedujo el testimonio de las actas de entrada y registro (el procedimiento sumario núm. 15-2002 del Juzgado Central de Instrucción núm. 1, que dio lugar al rollo de Sala núm. 20-2002).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esos razonamientos sustantivos, se resalta la inactividad impugnatoria de la parte recurrente en la instancia. Pese a lo que afirma el Ministerio Fiscal, esto último no permite oponer el óbice procesal del art. 44.1 c) LOTC, toda vez que la invocación tardía no impidió el tratamiento material de la cuestión, pero sí explica y fundamenta en cambio la aplicación del acuerdo adoptado en Sala General por el Pleno de la Sala Segunda del Tribunal Supremo, de fecha 26 de mayo de 2009, más aún si se observa que esa objeción sobre la pasividad de la parte se puso de manifiesto junto con los reseñados argumentos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acuerdo, en el que se fundan las resoluciones judiciales recurridas en amparo, dispone que, cuando la validez de un medio probatorio dependa de la legitimidad de la obtención de fuentes de prueba en otro procedimiento, si el interesado impugna en la instancia la legitimidad de aquel medio de prueba, la parte que lo propuso deberá justificar de forma contradictoria la legitimidad cuestionada; pero si, por el contrario, conocido el origen de un medio de prueba propuesto en un procedimiento no se promueve dicho debate, no podrá suscitarse en ulteriores instancias la cuestión de la falta de constancia en ese procedimiento de las circunstancias concurrentes en otro relativas al modo de obtención de las fuentes de aquella prueba. Tal es, justamente, lo que aquí acontece.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nuestro juicio, la intervención del Secretario judicial en aquellas diligencias y el carácter no desproporcionado de la carga que define el acuerdo aludido, autoriza la valoración de las pruebas obtenidas en los indicados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así, si tenemos en cuenta que en dichos registros se ocupó diversa documentación que, pericialmente analizada, revela su coincidencia con otro material intervenido en Francia a una dirigente de ETA, y que en la casa del señor Subijana se halló un documento (manuscrito por éste conforme a la prueba pericial caligráfica ratificada en el juicio oral) que contenía las expresiones “carcelero, plano, claves, garaje, domicilio”, es posible concluir, como afirma el Ministerio Fiscal, que en el plenario se practicó diversa prueba y que sólo tras el examen del conjunto de ese material probatorio la Sala de enjuiciamiento tomó la decisión condenatoria. A esas otras pruebas incriminatorias, autónomas de la declaración ante la policía, se refiere el propio Tribunal Supremo en el fundamento de Derecho segundo B) in fine y C)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valor incriminatorio de esas otras pruebas valoradas por el Tribunal Supremo, por lo demás, acredita que la consideración efectuada de la declaración ante la policía, que fue tenida por prueba pese a carecer autónomamente de ese carácter, no alcanza decisiva relevancia material o valor constitutivo en la condena. En razón de ello, no es apreciable, respecto de este recurrente, la vulneración del derecho a un proceso con todas las garantías (art. 24.2 CE), por lo que el recurso del señor Subijana deberá desestimarse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resultado desde la perspectiva de la presunción de inocencia no puede llevarnos a una idéntica declaración para los dos recurrentes. En efecto, de los documentos intervenidos en los registros domiciliarios y del relato fáctico de la Sentencia dictada por la misma Sección Primera de la Audiencia Nacional en fecha 5 de junio de 2009 (rollo de Sala núm. 20-2002, sumario núm. 15-2002 del Juzgado Central de instrucción núm. 1), que fue objeto de discusión en el plenario tras introducirse en la vista, se desprende que el señor Subijana formaba parte de un comando de la organización terrorista, que tenía en su poder información coincidente con la empleada por ETA y que se encontró en su domicilio un texto manuscrito con la reveladora secuencia “carcelero, plano, claves, garaje, domicilio”. A la vista de ello, declarar la directa vinculación del señor Subijana con el atentado por el que fue condenado y su participación en los hechos no puede considerarse una inferencia no concluyente o excesivamente abierta, insuficiente para enervar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suprimido igualmente del acervo probatorio el testimonio del señor Subijana en dependencias policiales, deberá ser la Sala sentenciadora quien valore las pruebas restantes a fin de mantener o revisar la condena del señor Bravo. Los elementos que vienen de enunciarse en el párrafo anterior en lo que atañe al señor Subijana no operan con idénticos efectos para el señor Bravo, ni permiten entonces a este Tribunal llegar a la misma conclusión anteriormente señalada sobre la presunción de inocencia. En efecto, en lo que afecta al señor Bravo, es cierto que las Sentencias recurridas califican en varias ocasiones dichas pruebas adicionales como meros elementos de corroboración de la declaración del señor Subijana ante la policía, circunstancia que no permitiría enervar su presunción de inocencia, pero también es verdad que en otros momentos apuntan su posible entidad probatoria autónoma, de modo que no corresponde a este Tribunal despejar el debate sobre la eventual independencia y validez incriminatoria de esas pruebas en relación con aquel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consta la pertenencia a ETA del señor Bravo, que él mismo aceptó en el procedimiento que dio lugar a la Sentencia de 5 de junio de 2009, y que si bien en sí misma, como es obvio, no acredita su participación en los concretos hechos objeto de enjuiciamiento, podría ser valorada en conexión con otros hechos, como su accesibilidad a los datos de la víctima por sus relaciones de vecindad o los resultados de los registros efectuados en los domicilios, que revelan la coincidencia entre los documentos hallados y las informaciones de las que disponía ETA, deduciendo de todo ello, en su caso, los hechos constitutivos del delito, o absolviendo al recurrente si no cupiera esa conclusión, al amparo del derecho a la presunción de inocencia. Ese juicio, tenga un resultado absolutorio o condenatorio, es competencia de los Tribunales penales, tanto por la prohibición legal de que el Tribunal Constitucional entre a valorar los hechos del proceso [art. 44.1 b) LOTC], como por la imposibilidad material de que los procesos constitucionales puedan contar con las garantías de oralidad, inmediación y contradicción que deben rodear a la valoración probatoria (STC 126/2011, de 28 de julio, FJ 21). En consecuencia y respecto del señor Bravo, ha de apreciarse la vulneración del derecho a un proceso con todas las garantías (art. 24.2 CE), ordenándose la retroacción de actuaciones al momento anterior al dictado de la Sentencia de la Audiencia Nacional para que sea dicho órgano judicial el que valore las pruebas restantes, con autonomía y exclusión de la que hemos declarado lesiva del citado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Denegar el amparo solicitado por don Juan Carlos Subijana Izquierdo.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Otorgar parcialmente el amparo solicitado por don Zigor Bravo Sáez de Urabain,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Reconocerle el derecho fundamental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En lo relativo a las condenas impuestas a don Zigor Bravo Sáez de Urabain, declarar la nulidad de la Sentencia de 10 de marzo de 2010 de la Sección Primera de la Sala de lo Penal de la Audiencia Nacional, y de la Sentencia de la Sala de lo Penal del Tribunal Supremo, de 1 de octubre de 2010, que confirmó la anterior resolución en el recurso de casación núm. 10413-2010, con retroacción de las actuaciones al momento inmediato anterior al dictado de la primera Sentencia, para que en su lugar pronuncie otra que resulte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su demanda de amparo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